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439" w:rsidRDefault="00BA0842" w:rsidP="0002458F">
      <w:pPr>
        <w:spacing w:after="0"/>
        <w:ind w:firstLine="709"/>
        <w:jc w:val="both"/>
        <w:rPr>
          <w:rFonts w:ascii="Times New Roman" w:hAnsi="Times New Roman" w:cs="Times New Roman"/>
          <w:sz w:val="28"/>
          <w:szCs w:val="28"/>
        </w:rPr>
      </w:pPr>
      <w:bookmarkStart w:id="0" w:name="_GoBack"/>
      <w:bookmarkEnd w:id="0"/>
      <w:r w:rsidRPr="00E73005">
        <w:rPr>
          <w:rFonts w:ascii="Times New Roman" w:hAnsi="Times New Roman" w:cs="Times New Roman"/>
          <w:sz w:val="28"/>
          <w:szCs w:val="28"/>
        </w:rPr>
        <w:t xml:space="preserve">Федеральная инновационная площадка Дворца </w:t>
      </w:r>
      <w:r w:rsidR="0002458F">
        <w:rPr>
          <w:rFonts w:ascii="Times New Roman" w:hAnsi="Times New Roman" w:cs="Times New Roman"/>
          <w:sz w:val="28"/>
          <w:szCs w:val="28"/>
        </w:rPr>
        <w:t xml:space="preserve">традиционно </w:t>
      </w:r>
      <w:r w:rsidRPr="00E73005">
        <w:rPr>
          <w:rFonts w:ascii="Times New Roman" w:hAnsi="Times New Roman" w:cs="Times New Roman"/>
          <w:sz w:val="28"/>
          <w:szCs w:val="28"/>
        </w:rPr>
        <w:t>приняла активное участие в Сетевой конференции «Эврика – Авангард 20</w:t>
      </w:r>
      <w:r w:rsidR="0002458F">
        <w:rPr>
          <w:rFonts w:ascii="Times New Roman" w:hAnsi="Times New Roman" w:cs="Times New Roman"/>
          <w:sz w:val="28"/>
          <w:szCs w:val="28"/>
        </w:rPr>
        <w:t>20»,</w:t>
      </w:r>
      <w:r w:rsidRPr="00E73005">
        <w:rPr>
          <w:rFonts w:ascii="Times New Roman" w:hAnsi="Times New Roman" w:cs="Times New Roman"/>
          <w:sz w:val="28"/>
          <w:szCs w:val="28"/>
        </w:rPr>
        <w:t xml:space="preserve"> </w:t>
      </w:r>
      <w:r w:rsidR="0002458F" w:rsidRPr="0002458F">
        <w:rPr>
          <w:rFonts w:ascii="Times New Roman" w:hAnsi="Times New Roman" w:cs="Times New Roman"/>
          <w:sz w:val="28"/>
          <w:szCs w:val="28"/>
        </w:rPr>
        <w:t xml:space="preserve">которую проводит Институт проблем образовательной политики «Эврика». </w:t>
      </w:r>
      <w:r w:rsidR="0002458F">
        <w:rPr>
          <w:rFonts w:ascii="Times New Roman" w:hAnsi="Times New Roman" w:cs="Times New Roman"/>
          <w:sz w:val="28"/>
          <w:szCs w:val="28"/>
        </w:rPr>
        <w:t>В этом году она впервые прошла</w:t>
      </w:r>
      <w:r w:rsidR="00710017">
        <w:rPr>
          <w:rFonts w:ascii="Times New Roman" w:hAnsi="Times New Roman" w:cs="Times New Roman"/>
          <w:sz w:val="28"/>
          <w:szCs w:val="28"/>
        </w:rPr>
        <w:t xml:space="preserve"> в онлайн-формате</w:t>
      </w:r>
      <w:r w:rsidR="00710017" w:rsidRPr="00710017">
        <w:rPr>
          <w:rFonts w:ascii="Times New Roman" w:hAnsi="Times New Roman" w:cs="Times New Roman"/>
          <w:sz w:val="28"/>
          <w:szCs w:val="28"/>
        </w:rPr>
        <w:t xml:space="preserve"> </w:t>
      </w:r>
      <w:r w:rsidR="00710017" w:rsidRPr="00E73005">
        <w:rPr>
          <w:rFonts w:ascii="Times New Roman" w:hAnsi="Times New Roman" w:cs="Times New Roman"/>
          <w:sz w:val="28"/>
          <w:szCs w:val="28"/>
        </w:rPr>
        <w:t>и собрала более 600 участников со всей России.</w:t>
      </w:r>
    </w:p>
    <w:p w:rsidR="0002458F" w:rsidRPr="00E73005" w:rsidRDefault="0002458F" w:rsidP="0002458F">
      <w:pPr>
        <w:spacing w:after="0"/>
        <w:ind w:firstLine="709"/>
        <w:jc w:val="both"/>
        <w:rPr>
          <w:rFonts w:ascii="Times New Roman" w:hAnsi="Times New Roman" w:cs="Times New Roman"/>
          <w:sz w:val="28"/>
          <w:szCs w:val="28"/>
        </w:rPr>
      </w:pPr>
      <w:r w:rsidRPr="0002458F">
        <w:rPr>
          <w:rFonts w:ascii="Times New Roman" w:hAnsi="Times New Roman" w:cs="Times New Roman"/>
          <w:sz w:val="28"/>
          <w:szCs w:val="28"/>
        </w:rPr>
        <w:t>18 апреля 2020 года в 9.00 по московскому времени состоялось открытие конференции. Модератор мероприятия – научный руководитель Института проблем образовательной политики «Эврика» Александр Адамский. С приветственным словом выступил министр просвещения РФ Сергей Кравцов, который поблагодарил за проведение столь значимого мероприятия и выразил уверенность в том, что в ходе этой конференции прозвучат предложения, которые Министерство просвещения использует в своей работе. Министр просвещения попросил участников конференции обсудить вопрос дистанционного обучения: какой должна быть система управления, подготовка педагогов, а также финансирование в условиях дистанционного обучения.</w:t>
      </w:r>
    </w:p>
    <w:p w:rsidR="00710017" w:rsidRDefault="0002458F" w:rsidP="00710017">
      <w:pPr>
        <w:spacing w:after="0"/>
        <w:ind w:firstLine="709"/>
        <w:jc w:val="both"/>
        <w:rPr>
          <w:rFonts w:ascii="Times New Roman" w:hAnsi="Times New Roman" w:cs="Times New Roman"/>
          <w:sz w:val="28"/>
          <w:szCs w:val="28"/>
        </w:rPr>
      </w:pPr>
      <w:r w:rsidRPr="0002458F">
        <w:rPr>
          <w:rFonts w:ascii="Times New Roman" w:hAnsi="Times New Roman" w:cs="Times New Roman"/>
          <w:sz w:val="28"/>
          <w:szCs w:val="28"/>
        </w:rPr>
        <w:t>К участию в конференции были приглашены Александр Асмолов, член Совета при президенте РФ по развитию гражданского общества и правам человека, Игорь Реморенко, ректор МГПУ, Юрий Зинченко, президент РАО, Артем Соловейчик, лидер движения «Школа – наше дело», Исак Фрумин, научный руководитель Института образования НИУ ВШЭ, Аркадий Марголис, ректор МГППУ, Алена Аршинова, депутат Государственной думы Российской Федерации, Наталия Типенко, директор Центра универсальных программ, Ирина Абанкина, профессор Института образования ВШЭ, Татьяна Клячко, директор Центра экономики непрерывного образования РАНХиГС, Алексей Семенов, академик РАН и РАО, директор Института кибернетики и образовательной информатики ФИЦ ИУ РАН.</w:t>
      </w:r>
      <w:r w:rsidR="00710017" w:rsidRPr="00710017">
        <w:rPr>
          <w:rFonts w:ascii="Times New Roman" w:hAnsi="Times New Roman" w:cs="Times New Roman"/>
          <w:sz w:val="28"/>
          <w:szCs w:val="28"/>
        </w:rPr>
        <w:t xml:space="preserve"> </w:t>
      </w:r>
    </w:p>
    <w:p w:rsidR="00710017" w:rsidRDefault="00710017" w:rsidP="00710017">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Заместитель директора по инновационной деятельности ДДЮТ Дудковская Елена Евгеньевна приняла участие в работе проектной группы «Цифровые институты», представив экспертную оценку предложенных для обсуждения вопросов формирования цифровой образовательной среды и ее институализации.</w:t>
      </w:r>
    </w:p>
    <w:p w:rsidR="0002458F" w:rsidRDefault="00710017" w:rsidP="0002458F">
      <w:pPr>
        <w:spacing w:after="0"/>
        <w:ind w:firstLine="709"/>
        <w:jc w:val="both"/>
        <w:rPr>
          <w:rFonts w:ascii="Times New Roman" w:hAnsi="Times New Roman" w:cs="Times New Roman"/>
          <w:sz w:val="28"/>
          <w:szCs w:val="28"/>
        </w:rPr>
      </w:pPr>
      <w:r w:rsidRPr="00710017">
        <w:rPr>
          <w:rFonts w:ascii="Times New Roman" w:hAnsi="Times New Roman" w:cs="Times New Roman"/>
          <w:sz w:val="28"/>
          <w:szCs w:val="28"/>
        </w:rPr>
        <w:t>Всего к конференции присоединились 77 регионов. Топ-активные: Москва, Красноярский край, Хабаровский край, Санкт-Петербург, Московская область, Республика Бурятия, Нижегородская область, Ростовская область, Чеченская Республика, Свердловская область. 11 зарубежных стран: Монголия, Испания, Латвия, Абхазия, Казахстан, Молдова, Белоруссия, Португалия, Болгария, Турция, Бельгия.</w:t>
      </w:r>
    </w:p>
    <w:p w:rsidR="0002458F" w:rsidRDefault="0002458F">
      <w:pPr>
        <w:rPr>
          <w:rFonts w:ascii="Times New Roman" w:hAnsi="Times New Roman" w:cs="Times New Roman"/>
          <w:sz w:val="28"/>
          <w:szCs w:val="28"/>
        </w:rPr>
      </w:pPr>
    </w:p>
    <w:p w:rsidR="00E73005" w:rsidRPr="00E73005" w:rsidRDefault="00E73005" w:rsidP="00E73005">
      <w:pPr>
        <w:rPr>
          <w:rFonts w:ascii="Times New Roman" w:hAnsi="Times New Roman" w:cs="Times New Roman"/>
          <w:sz w:val="28"/>
          <w:szCs w:val="28"/>
        </w:rPr>
      </w:pPr>
      <w:r w:rsidRPr="00E73005">
        <w:rPr>
          <w:rFonts w:ascii="Times New Roman" w:hAnsi="Times New Roman" w:cs="Times New Roman"/>
          <w:sz w:val="28"/>
          <w:szCs w:val="28"/>
        </w:rPr>
        <w:lastRenderedPageBreak/>
        <w:t>Три тезиса члена Совета при президенте Российской Федерации по развитию гражданского общества и правам человека, доктора психологических наук Александра Асмолова по итогам конференции «Эврика-Авангард-2020»</w:t>
      </w:r>
    </w:p>
    <w:p w:rsidR="00E73005" w:rsidRPr="00E73005" w:rsidRDefault="00E73005" w:rsidP="00E73005">
      <w:pPr>
        <w:rPr>
          <w:rFonts w:ascii="Times New Roman" w:hAnsi="Times New Roman" w:cs="Times New Roman"/>
          <w:sz w:val="28"/>
          <w:szCs w:val="28"/>
        </w:rPr>
      </w:pPr>
      <w:r w:rsidRPr="00E73005">
        <w:rPr>
          <w:rFonts w:ascii="Times New Roman" w:hAnsi="Times New Roman" w:cs="Times New Roman"/>
          <w:sz w:val="28"/>
          <w:szCs w:val="28"/>
        </w:rPr>
        <w:t>Тезис № 1</w:t>
      </w:r>
    </w:p>
    <w:p w:rsidR="00E73005" w:rsidRPr="00E73005" w:rsidRDefault="00E73005" w:rsidP="00E73005">
      <w:pPr>
        <w:rPr>
          <w:rFonts w:ascii="Times New Roman" w:hAnsi="Times New Roman" w:cs="Times New Roman"/>
          <w:sz w:val="28"/>
          <w:szCs w:val="28"/>
        </w:rPr>
      </w:pPr>
      <w:r w:rsidRPr="00E73005">
        <w:rPr>
          <w:rFonts w:ascii="Times New Roman" w:hAnsi="Times New Roman" w:cs="Times New Roman"/>
          <w:sz w:val="28"/>
          <w:szCs w:val="28"/>
        </w:rPr>
        <w:t>Сегодня образование становится более пластичной, гибкой и генеративной системой, которая обладает большей готовностью жизни в неопределенной ситуации.</w:t>
      </w:r>
    </w:p>
    <w:p w:rsidR="00E73005" w:rsidRPr="00E73005" w:rsidRDefault="00E73005" w:rsidP="00E73005">
      <w:pPr>
        <w:rPr>
          <w:rFonts w:ascii="Times New Roman" w:hAnsi="Times New Roman" w:cs="Times New Roman"/>
          <w:sz w:val="28"/>
          <w:szCs w:val="28"/>
        </w:rPr>
      </w:pPr>
      <w:r w:rsidRPr="00E73005">
        <w:rPr>
          <w:rFonts w:ascii="Times New Roman" w:hAnsi="Times New Roman" w:cs="Times New Roman"/>
          <w:sz w:val="28"/>
          <w:szCs w:val="28"/>
        </w:rPr>
        <w:t>Тезис № 2</w:t>
      </w:r>
    </w:p>
    <w:p w:rsidR="00E73005" w:rsidRPr="00E73005" w:rsidRDefault="00E73005" w:rsidP="00E73005">
      <w:pPr>
        <w:rPr>
          <w:rFonts w:ascii="Times New Roman" w:hAnsi="Times New Roman" w:cs="Times New Roman"/>
          <w:sz w:val="28"/>
          <w:szCs w:val="28"/>
        </w:rPr>
      </w:pPr>
      <w:r w:rsidRPr="00E73005">
        <w:rPr>
          <w:rFonts w:ascii="Times New Roman" w:hAnsi="Times New Roman" w:cs="Times New Roman"/>
          <w:sz w:val="28"/>
          <w:szCs w:val="28"/>
        </w:rPr>
        <w:t>Избыточность разнообразия – самый важный ресурс преадаптивности и трансформации.</w:t>
      </w:r>
    </w:p>
    <w:p w:rsidR="00E73005" w:rsidRPr="00E73005" w:rsidRDefault="00E73005" w:rsidP="00E73005">
      <w:pPr>
        <w:rPr>
          <w:rFonts w:ascii="Times New Roman" w:hAnsi="Times New Roman" w:cs="Times New Roman"/>
          <w:sz w:val="28"/>
          <w:szCs w:val="28"/>
        </w:rPr>
      </w:pPr>
      <w:r w:rsidRPr="00E73005">
        <w:rPr>
          <w:rFonts w:ascii="Times New Roman" w:hAnsi="Times New Roman" w:cs="Times New Roman"/>
          <w:sz w:val="28"/>
          <w:szCs w:val="28"/>
        </w:rPr>
        <w:t>Тезис № 3</w:t>
      </w:r>
    </w:p>
    <w:p w:rsidR="00710017" w:rsidRDefault="00E73005" w:rsidP="00E73005">
      <w:pPr>
        <w:rPr>
          <w:rFonts w:ascii="Times New Roman" w:hAnsi="Times New Roman" w:cs="Times New Roman"/>
          <w:sz w:val="28"/>
          <w:szCs w:val="28"/>
        </w:rPr>
      </w:pPr>
      <w:r w:rsidRPr="00E73005">
        <w:rPr>
          <w:rFonts w:ascii="Times New Roman" w:hAnsi="Times New Roman" w:cs="Times New Roman"/>
          <w:sz w:val="28"/>
          <w:szCs w:val="28"/>
        </w:rPr>
        <w:t>Цифра – это больше чем цифра. Сегодняшний ребенок – это человек, достроенный цифровым орудием. Любые попытки оторвать ребенка от гаджетов вызовут фантомные боли.</w:t>
      </w:r>
    </w:p>
    <w:p w:rsidR="00361F0E" w:rsidRDefault="00361F0E" w:rsidP="00E73005">
      <w:pPr>
        <w:rPr>
          <w:rFonts w:ascii="Times New Roman" w:hAnsi="Times New Roman" w:cs="Times New Roman"/>
          <w:sz w:val="28"/>
          <w:szCs w:val="28"/>
        </w:rPr>
      </w:pPr>
    </w:p>
    <w:p w:rsidR="00361F0E" w:rsidRDefault="00361F0E" w:rsidP="00E73005">
      <w:pPr>
        <w:rPr>
          <w:rFonts w:ascii="Times New Roman" w:hAnsi="Times New Roman" w:cs="Times New Roman"/>
          <w:sz w:val="28"/>
          <w:szCs w:val="28"/>
        </w:rPr>
      </w:pPr>
      <w:r>
        <w:rPr>
          <w:noProof/>
          <w:lang w:eastAsia="ru-RU"/>
        </w:rPr>
        <w:drawing>
          <wp:inline distT="0" distB="0" distL="0" distR="0" wp14:anchorId="2B6FCAC3" wp14:editId="7AC26CE2">
            <wp:extent cx="5353050" cy="3343237"/>
            <wp:effectExtent l="76200" t="76200" r="133350" b="12446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r="9936"/>
                    <a:stretch/>
                  </pic:blipFill>
                  <pic:spPr bwMode="auto">
                    <a:xfrm>
                      <a:off x="0" y="0"/>
                      <a:ext cx="5350191" cy="33414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61F0E" w:rsidRDefault="00361F0E" w:rsidP="00E73005">
      <w:pPr>
        <w:rPr>
          <w:rFonts w:ascii="Times New Roman" w:hAnsi="Times New Roman" w:cs="Times New Roman"/>
          <w:sz w:val="28"/>
          <w:szCs w:val="28"/>
        </w:rPr>
      </w:pPr>
    </w:p>
    <w:p w:rsidR="00361F0E" w:rsidRPr="00E73005" w:rsidRDefault="00466FD8" w:rsidP="00E73005">
      <w:pPr>
        <w:rPr>
          <w:rFonts w:ascii="Times New Roman" w:hAnsi="Times New Roman" w:cs="Times New Roman"/>
          <w:sz w:val="28"/>
          <w:szCs w:val="28"/>
        </w:rPr>
      </w:pPr>
      <w:r>
        <w:rPr>
          <w:noProof/>
          <w:lang w:eastAsia="ru-RU"/>
        </w:rPr>
        <w:lastRenderedPageBreak/>
        <w:drawing>
          <wp:inline distT="0" distB="0" distL="0" distR="0" wp14:anchorId="14E38F3B" wp14:editId="78FA7B6F">
            <wp:extent cx="5940425" cy="3341569"/>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3341569"/>
                    </a:xfrm>
                    <a:prstGeom prst="rect">
                      <a:avLst/>
                    </a:prstGeom>
                  </pic:spPr>
                </pic:pic>
              </a:graphicData>
            </a:graphic>
          </wp:inline>
        </w:drawing>
      </w:r>
    </w:p>
    <w:sectPr w:rsidR="00361F0E" w:rsidRPr="00E730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EAB"/>
    <w:rsid w:val="0002458F"/>
    <w:rsid w:val="00361F0E"/>
    <w:rsid w:val="00461F35"/>
    <w:rsid w:val="00466FD8"/>
    <w:rsid w:val="00710017"/>
    <w:rsid w:val="008F0439"/>
    <w:rsid w:val="00BA0842"/>
    <w:rsid w:val="00CD1B31"/>
    <w:rsid w:val="00D92C30"/>
    <w:rsid w:val="00E73005"/>
    <w:rsid w:val="00F63E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30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30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30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30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446</Words>
  <Characters>2547</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homeuser</cp:lastModifiedBy>
  <cp:revision>2</cp:revision>
  <dcterms:created xsi:type="dcterms:W3CDTF">2020-04-20T11:08:00Z</dcterms:created>
  <dcterms:modified xsi:type="dcterms:W3CDTF">2020-04-20T11:08:00Z</dcterms:modified>
</cp:coreProperties>
</file>