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FE" w:rsidRDefault="006A66FE" w:rsidP="006A66FE">
      <w:pPr>
        <w:spacing w:after="0"/>
        <w:ind w:left="34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6A66FE" w:rsidRDefault="006A66FE" w:rsidP="006A66FE">
      <w:pPr>
        <w:spacing w:after="0"/>
        <w:ind w:left="34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64E07" w:rsidRPr="005E29D8" w:rsidRDefault="00480CF1" w:rsidP="00480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опытно-экспериментальной работы</w:t>
      </w: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УДОД ДДЮТ Фрунзенского района Санкт-Петербурга</w:t>
      </w: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модели сетевого взаимодействия образовательных организаций в</w:t>
      </w:r>
      <w:r w:rsidR="00480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E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реализации дополнительных общеразвивающих программ»</w:t>
      </w:r>
    </w:p>
    <w:p w:rsidR="00964E07" w:rsidRPr="005E29D8" w:rsidRDefault="00964E07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E07" w:rsidRPr="005E29D8" w:rsidRDefault="00964E07" w:rsidP="00480CF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аннотация ОЭР</w:t>
      </w:r>
    </w:p>
    <w:p w:rsidR="00E761C9" w:rsidRPr="005E29D8" w:rsidRDefault="00E761C9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социально-экономическая ситуация требует от дополнительного образования детей модернизации, оптимизации ресурсов, изменений в системе управления образовательными учреждениями на основе полного использования их потенциальных возможностей, внедрения инновационных технологий, новых систем управления.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69C2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Выдвигаются новые требования и к педагогу дополнительного образования. </w:t>
      </w:r>
      <w:proofErr w:type="gramStart"/>
      <w:r w:rsidR="005269C2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частности, </w:t>
      </w:r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Путин, выступая на Всемирном конгрессе информационных агентств «Информация: вызовы ХХ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</w:t>
      </w:r>
      <w:r w:rsidR="004A4553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отмеча</w:t>
      </w:r>
      <w:r w:rsidR="004A4553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4A4553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интенсивное развитие </w:t>
      </w:r>
      <w:proofErr w:type="spellStart"/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медиакультуры</w:t>
      </w:r>
      <w:proofErr w:type="spellEnd"/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особенности электронной, </w:t>
      </w:r>
      <w:proofErr w:type="spellStart"/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аудивизуальной</w:t>
      </w:r>
      <w:proofErr w:type="spellEnd"/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все более влияет на общественное сознание как мощное средство информации, культурных и образовательных контактов, как фактор развития творческих способностей личности», что  предъявляет новые требования к культуре педагога, в том числе </w:t>
      </w:r>
      <w:proofErr w:type="spellStart"/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медиакультуре</w:t>
      </w:r>
      <w:proofErr w:type="spellEnd"/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6F2C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требования современной государственной образовательной политики нашли отражение в Государственной программе «Развитие образовани</w:t>
      </w:r>
      <w:r w:rsidR="004A4553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2013-2020 гг.</w:t>
      </w:r>
      <w:r w:rsidR="004A4553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Национальной стратегии действий в интересах детей на 2012-2017 гг., </w:t>
      </w:r>
      <w:r w:rsidR="00E80D6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</w:t>
      </w:r>
      <w:r w:rsidR="00E80D60" w:rsidRPr="005E29D8">
        <w:rPr>
          <w:rFonts w:ascii="Times New Roman" w:hAnsi="Times New Roman" w:cs="Times New Roman"/>
          <w:bCs/>
        </w:rPr>
        <w:t xml:space="preserve">аконе «Об образовании в Российской Федерации» от 29.12.2012 N 273-ФЗ, в рекомендациях </w:t>
      </w:r>
      <w:proofErr w:type="spellStart"/>
      <w:r w:rsidR="00E80D60" w:rsidRPr="005E29D8">
        <w:rPr>
          <w:rFonts w:ascii="Times New Roman" w:hAnsi="Times New Roman" w:cs="Times New Roman"/>
        </w:rPr>
        <w:t>Минобрнауки</w:t>
      </w:r>
      <w:proofErr w:type="spellEnd"/>
      <w:r w:rsidR="00E80D60" w:rsidRPr="005E29D8">
        <w:rPr>
          <w:rFonts w:ascii="Times New Roman" w:hAnsi="Times New Roman" w:cs="Times New Roman"/>
        </w:rPr>
        <w:t xml:space="preserve"> РФ «Об организации внеурочной деятельности </w:t>
      </w:r>
      <w:proofErr w:type="spellStart"/>
      <w:r w:rsidR="00E80D60" w:rsidRPr="005E29D8">
        <w:rPr>
          <w:rFonts w:ascii="Times New Roman" w:hAnsi="Times New Roman" w:cs="Times New Roman"/>
        </w:rPr>
        <w:t>привведении</w:t>
      </w:r>
      <w:proofErr w:type="spellEnd"/>
      <w:r w:rsidR="00E80D60" w:rsidRPr="005E29D8">
        <w:rPr>
          <w:rFonts w:ascii="Times New Roman" w:hAnsi="Times New Roman" w:cs="Times New Roman"/>
        </w:rPr>
        <w:t xml:space="preserve"> Федерального государственного образовательного стандарта общего образования» и постановлениях Правительства Санкт-Петербурга «О Программе реализации Концепции общенациональной</w:t>
      </w:r>
      <w:proofErr w:type="gramEnd"/>
      <w:r w:rsidR="00E80D60" w:rsidRPr="005E29D8">
        <w:rPr>
          <w:rFonts w:ascii="Times New Roman" w:hAnsi="Times New Roman" w:cs="Times New Roman"/>
        </w:rPr>
        <w:t xml:space="preserve"> системы выявления и развития молодых талантов в Санкт-Петербурге на 2012–2015 годы», «О Стратегии действий в интересах детей в Санкт-Петербурге на 2012–2017 годы».</w:t>
      </w:r>
    </w:p>
    <w:p w:rsidR="008C07EC" w:rsidRPr="008C07EC" w:rsidRDefault="008C07EC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anchor="st10_6" w:tgtFrame="_blank" w:history="1">
        <w:r w:rsidRPr="005E29D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ч. 6 ст. 10</w:t>
        </w:r>
      </w:hyperlink>
      <w:r w:rsidR="00480CF1">
        <w:t xml:space="preserve"> </w:t>
      </w:r>
      <w:r w:rsidRPr="008C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273-ФЗ дополнительное образование включает в себя такие подвиды, как дополнительное образование детей и взрослых и дополнительно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профессиональное образование.</w:t>
      </w:r>
    </w:p>
    <w:p w:rsidR="005269C2" w:rsidRPr="005269C2" w:rsidRDefault="005269C2" w:rsidP="00480CF1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осуществляется путем реализации дополнительных общеобразовательных программ, которые направлены на развитие личности, ее общей культуры и индивидуальных способностей, освоение социокультурных ценностей, </w:t>
      </w:r>
      <w:r w:rsidRPr="00526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профессиональную ориентацию, организацию творческого труда, содержательного досуга, формирование культуры здорового и безопасного образа жизни, укрепление здоровья.</w:t>
      </w:r>
    </w:p>
    <w:p w:rsidR="001856F0" w:rsidRPr="005E29D8" w:rsidRDefault="005269C2" w:rsidP="00480CF1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 могут быть общеразвив</w:t>
      </w:r>
      <w:r w:rsidR="00480CF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 и предпрофессиональными.</w:t>
      </w:r>
    </w:p>
    <w:p w:rsidR="005269C2" w:rsidRPr="005269C2" w:rsidRDefault="005269C2" w:rsidP="00480CF1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общеразвивающие программы могут иметь научно-техническую, спортивно-техническую, физкультурно-спортивную, художественную (по видам искусств), историко-культурную, туристско-краеведческую, эколого-биологическую, военно-патриотическую, социально-педагогическую, социально-экономическую, естественн</w:t>
      </w:r>
      <w:r w:rsidR="0048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онаучную и иную направленность.</w:t>
      </w:r>
      <w:proofErr w:type="gramEnd"/>
    </w:p>
    <w:p w:rsidR="005269C2" w:rsidRPr="005269C2" w:rsidRDefault="005269C2" w:rsidP="00480CF1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предпрофессиональные программы реализуются  в сфере искусства и спорта.</w:t>
      </w:r>
    </w:p>
    <w:p w:rsidR="005269C2" w:rsidRPr="005E29D8" w:rsidRDefault="005269C2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Особенностью системы дополнительного образования является ее интеграционный и межведомственный характер: дополнительные общеразвивающие программы реализуются в учреждениях дополнительного образования, общеобразовательных учреждениях, дошкольных учреждениях, охватывают различные сферы и направления деятельности – образование, культуру и искусство, физическую кул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ьтуру и спорт, науку и технику.</w:t>
      </w: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</w:t>
      </w:r>
      <w:r w:rsidR="00A60691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создания модели сетевого взаимодействия образовательных организаций в рамках реализации дополнительных обще</w:t>
      </w:r>
      <w:r w:rsidR="00E80D6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развивающих</w:t>
      </w:r>
      <w:r w:rsidR="00A60691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 связана с решением ряда проблем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64E07" w:rsidRPr="005E29D8" w:rsidRDefault="00A60691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5CF6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проблемы </w:t>
      </w:r>
      <w:proofErr w:type="gramStart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качественного уровня оказания образовательных услуг</w:t>
      </w:r>
      <w:r w:rsidR="00964E0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образования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</w:t>
      </w:r>
      <w:proofErr w:type="gramEnd"/>
      <w:r w:rsidR="00155CF6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отдельным учреждением, а системой в целом, что продиктовано, прежде всего, требованиями экономики;</w:t>
      </w:r>
    </w:p>
    <w:p w:rsidR="00155CF6" w:rsidRPr="005E29D8" w:rsidRDefault="00155CF6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проблемы дефицита используемых ресурсов и отсутствия технологичных методик управления;</w:t>
      </w: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5CF6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проблемы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интеграции </w:t>
      </w:r>
      <w:r w:rsidR="00155CF6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общего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дополнительного образования </w:t>
      </w:r>
      <w:r w:rsidR="00E80D6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создания единого образовательного пространства для воспитания и социализации детей в рамках реализации ФГОС</w:t>
      </w:r>
      <w:r w:rsidR="00155CF6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6EDF" w:rsidRPr="005E29D8" w:rsidRDefault="00936EDF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проблемы развития и повышения уровня </w:t>
      </w:r>
      <w:proofErr w:type="spellStart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медиакультуры</w:t>
      </w:r>
      <w:proofErr w:type="spellEnd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и воспитателей;</w:t>
      </w: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5CF6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проблемы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социального партнерства</w:t>
      </w:r>
      <w:r w:rsidR="00155CF6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41E" w:rsidRPr="005E29D8" w:rsidRDefault="0072041E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заимодействие общего, дополнительного и профессионального образования в системе образования имеет теоретическую основу и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достаточный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практический опыт.</w:t>
      </w:r>
    </w:p>
    <w:p w:rsidR="005A544D" w:rsidRPr="005E29D8" w:rsidRDefault="005A544D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тем 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отмечают, что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 взаимодействие не имеет нормативно-правового закрепления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возникает опасность заимствования не только достоинств, но и недостатков каждой сферы образования;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слабо реализуются функции интеграции, недостаточно хорошо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яются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обязанности субъектов интеграции и координир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уется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хватает необходимых условий: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ционных, методических, кадровых.</w:t>
      </w:r>
    </w:p>
    <w:p w:rsidR="005A544D" w:rsidRPr="005E29D8" w:rsidRDefault="005A544D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введением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государственного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стандарт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общеобразовательными учреждениями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72041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встает проблема эффективной организации внеурочной деятельности, которая занимает большое место в образовательной программе</w:t>
      </w:r>
      <w:r w:rsidR="00736134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ОУ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Организация внеурочной деятельности требует от школы мобилизации всех ее кадровых, образовательных, организационных и материальных ресурсов. В этих условиях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становится необходимым решение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кооперации, объединении образовательных ресурсов школ, учреждений дополнительного образования, учреждений культуры и спорта, создании образовательных сетей. </w:t>
      </w:r>
      <w:proofErr w:type="gramStart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Конкретизация проблемы сетевого взаимодействия применительно к области организации внеурочной деятельности отражена в ряде методических материалов, подготовленных Министерством образовани</w:t>
      </w:r>
      <w:r w:rsidR="00F5728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 науки Российской Федерации (в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Методических материалах </w:t>
      </w:r>
      <w:proofErr w:type="spellStart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об организации внеурочной деятельности при введении ФГОС общего образования (№ 03-296 от 12 мая 2011 г.) предлагается ряд моделей, каждая из которых выбиралась бы (и в случае необходимости корректировалась), исходя из реально складывающихся условий</w:t>
      </w:r>
      <w:proofErr w:type="gramEnd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существования образовательных учреждений</w:t>
      </w:r>
      <w:r w:rsidR="00F5728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544D" w:rsidRPr="005E29D8" w:rsidRDefault="00032346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Сетевое взаимодействие образовательных организаций – совместная деятельность образовательных организаций, входящих во взаимодействующую сеть и обеспечивающих возможность учащимся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успешно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осваивать дополнительные общеразвивающие программы с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эффективным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ресурсов нескольких образовательных учреждений.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1DAB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гипотезе проекта, с</w:t>
      </w:r>
      <w:r w:rsidR="001856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пособствовать эффективной организации совместной деятельности участников такой сети будет создание и реализация модели сетевого взаимодействия, основанной </w:t>
      </w:r>
      <w:r w:rsidR="00F5728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автономной кооперации образовательных учреждений и предполага</w:t>
      </w:r>
      <w:r w:rsidR="001856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</w:t>
      </w:r>
      <w:r w:rsidR="00C91DAB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ресурсов нескольких образовательных учреждений, обеспечивающих возможность уч</w:t>
      </w:r>
      <w:r w:rsidR="00F5728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ащимся 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осваивать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общеразвивающие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различного уровня и направленности. </w:t>
      </w:r>
      <w:r w:rsidR="00C91DAB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данной модели в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члены кооперации выполняют общую миссию, но осуществляют различные направления деятельности: выявл</w:t>
      </w:r>
      <w:r w:rsidR="006218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</w:t>
      </w:r>
      <w:r w:rsidR="006218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</w:t>
      </w:r>
      <w:r w:rsidR="006218F0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обучающихся, разрабатывают совместно с учреждениями дополнительного образования, культуры, спорта и туризма образовательные программы, в том числе программы </w:t>
      </w:r>
      <w:proofErr w:type="spellStart"/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и дополнительного образования детей</w:t>
      </w:r>
      <w:r w:rsidR="00C91DAB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организуют мониторинг качества реализации дополнительных общеразвивающих программ.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организации 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реализуют данные программы, обеспечивая широкий спектр дополнительных образовательных услуг на высоком профессиональном уровне. Они одновременно ведут работу по обучению школьных учителей современным формам и методам организации внеурочной и </w:t>
      </w:r>
      <w:proofErr w:type="spellStart"/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  <w:r w:rsidR="00936EDF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влияют на процесс развития </w:t>
      </w:r>
      <w:proofErr w:type="spellStart"/>
      <w:r w:rsidR="00936EDF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медиакультуры</w:t>
      </w:r>
      <w:proofErr w:type="spellEnd"/>
      <w:r w:rsidR="00936EDF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работников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Учреждения дополнительного образования сотрудничают со школами в пределах </w:t>
      </w:r>
      <w:r w:rsidR="005A544D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муниципального заказа, определенного муниципальным управлением образования, параллельно осуществляя свою основную миссию. Непосредственное управление сетевым взаимодействием осуществляет Координационный совет сети, в состав которого входят представители от каждого образовательного учреждения и о</w:t>
      </w:r>
      <w:r w:rsidR="00480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рганов управления образованием.</w:t>
      </w:r>
    </w:p>
    <w:p w:rsidR="00C91DAB" w:rsidRPr="005E29D8" w:rsidRDefault="00C91DAB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проекту предполагаемые участники сетевого взаимодействия:</w:t>
      </w:r>
    </w:p>
    <w:p w:rsidR="00C91DAB" w:rsidRPr="005E29D8" w:rsidRDefault="00C91DAB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>Информационно-методический центр Фрунзенского района Санкт-Петербурга;</w:t>
      </w:r>
    </w:p>
    <w:p w:rsidR="00C91DAB" w:rsidRPr="005E29D8" w:rsidRDefault="00C91DAB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 xml:space="preserve">Санкт-Петербургский городской дворец творчества </w:t>
      </w:r>
      <w:proofErr w:type="gramStart"/>
      <w:r w:rsidRPr="005E29D8">
        <w:t>юных</w:t>
      </w:r>
      <w:proofErr w:type="gramEnd"/>
      <w:r w:rsidRPr="005E29D8">
        <w:t>;</w:t>
      </w:r>
    </w:p>
    <w:p w:rsidR="00C91DAB" w:rsidRPr="005E29D8" w:rsidRDefault="00C91DAB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 xml:space="preserve">Дошкольные образовательные учреждения Фрунзенского района, реализующие дополнительные </w:t>
      </w:r>
      <w:r w:rsidR="00E33E1E" w:rsidRPr="005E29D8">
        <w:t>общеразвивающие программы</w:t>
      </w:r>
      <w:r w:rsidR="005E29D8">
        <w:t>:</w:t>
      </w:r>
      <w:r w:rsidR="00E33E1E" w:rsidRPr="005E29D8">
        <w:t xml:space="preserve"> № 83, № 96</w:t>
      </w:r>
      <w:r w:rsidR="00480CF1">
        <w:t>;</w:t>
      </w:r>
    </w:p>
    <w:p w:rsidR="00C91DAB" w:rsidRPr="005E29D8" w:rsidRDefault="00C91DAB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>Общеобразовательные учреждения Фрунзенского района, реализующие дополнительные общеразвивающие программы</w:t>
      </w:r>
      <w:r w:rsidR="005E29D8">
        <w:t>:</w:t>
      </w:r>
      <w:r w:rsidR="00E33E1E" w:rsidRPr="005E29D8">
        <w:t xml:space="preserve"> № 311, № 316, № 587</w:t>
      </w:r>
      <w:r w:rsidRPr="005E29D8">
        <w:t>;</w:t>
      </w:r>
    </w:p>
    <w:p w:rsidR="00C91DAB" w:rsidRPr="005E29D8" w:rsidRDefault="00C91DAB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>ГБОУ Детский дом №11 Фрунзенского района;</w:t>
      </w:r>
    </w:p>
    <w:p w:rsidR="00C91DAB" w:rsidRPr="005E29D8" w:rsidRDefault="00C91DAB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>Центр реабилитации детей и подростков Фрунзенского района;</w:t>
      </w:r>
    </w:p>
    <w:p w:rsidR="00C91DAB" w:rsidRPr="005E29D8" w:rsidRDefault="00E33E1E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 xml:space="preserve">Федеральное государственное научное учреждение </w:t>
      </w:r>
      <w:r w:rsidR="00C91DAB" w:rsidRPr="005E29D8">
        <w:t>Институт педагогиче</w:t>
      </w:r>
      <w:r w:rsidRPr="005E29D8">
        <w:t>ск</w:t>
      </w:r>
      <w:r w:rsidR="00C91DAB" w:rsidRPr="005E29D8">
        <w:t xml:space="preserve">ого образования </w:t>
      </w:r>
      <w:r w:rsidRPr="005E29D8">
        <w:t xml:space="preserve">и образования взрослых </w:t>
      </w:r>
      <w:r w:rsidR="00C91DAB" w:rsidRPr="005E29D8">
        <w:t>РАО</w:t>
      </w:r>
      <w:r w:rsidR="00480CF1">
        <w:t>;</w:t>
      </w:r>
    </w:p>
    <w:p w:rsidR="00023E0B" w:rsidRPr="005E29D8" w:rsidRDefault="00023E0B" w:rsidP="00480CF1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>Тюменский областной государственный институт развития регионального образования</w:t>
      </w:r>
      <w:r w:rsidR="00480CF1">
        <w:t>.</w:t>
      </w:r>
    </w:p>
    <w:p w:rsidR="00032346" w:rsidRPr="005E29D8" w:rsidRDefault="00032346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сетевого взаимодействия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 п</w:t>
      </w:r>
      <w:r w:rsidR="007B3BE5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озволит обеспечить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32346" w:rsidRPr="005E29D8" w:rsidRDefault="00032346" w:rsidP="00480CF1">
      <w:pPr>
        <w:pStyle w:val="ad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5E29D8">
        <w:rPr>
          <w:bCs/>
        </w:rPr>
        <w:t xml:space="preserve">Эффективное управление деятельностью по развитию дополнительного образования детей, по увеличению охвата дополнительными </w:t>
      </w:r>
      <w:r w:rsidR="00E9140F" w:rsidRPr="005E29D8">
        <w:rPr>
          <w:bCs/>
        </w:rPr>
        <w:t xml:space="preserve">общеразвивающими </w:t>
      </w:r>
      <w:r w:rsidRPr="005E29D8">
        <w:rPr>
          <w:bCs/>
        </w:rPr>
        <w:t>программами учащихся</w:t>
      </w:r>
      <w:r w:rsidR="009E7FE7" w:rsidRPr="005E29D8">
        <w:rPr>
          <w:bCs/>
        </w:rPr>
        <w:t>.</w:t>
      </w:r>
    </w:p>
    <w:p w:rsidR="00032346" w:rsidRPr="005E29D8" w:rsidRDefault="00032346" w:rsidP="00480CF1">
      <w:pPr>
        <w:pStyle w:val="ad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5E29D8">
        <w:rPr>
          <w:bCs/>
        </w:rPr>
        <w:t>Непрерывное обновление содержания дополнительного образования</w:t>
      </w:r>
      <w:r w:rsidR="00B3049D" w:rsidRPr="005E29D8">
        <w:rPr>
          <w:bCs/>
        </w:rPr>
        <w:t>, создание основ единого образовательного пространства в области дополнительного образования</w:t>
      </w:r>
      <w:r w:rsidR="009E7FE7" w:rsidRPr="005E29D8">
        <w:rPr>
          <w:bCs/>
        </w:rPr>
        <w:t>.</w:t>
      </w:r>
    </w:p>
    <w:p w:rsidR="00B3049D" w:rsidRPr="005E29D8" w:rsidRDefault="00B3049D" w:rsidP="00480CF1">
      <w:pPr>
        <w:pStyle w:val="ad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5E29D8">
        <w:rPr>
          <w:bCs/>
        </w:rPr>
        <w:t>Оптимизаци</w:t>
      </w:r>
      <w:r w:rsidR="009E7FE7" w:rsidRPr="005E29D8">
        <w:rPr>
          <w:bCs/>
        </w:rPr>
        <w:t>ю</w:t>
      </w:r>
      <w:r w:rsidRPr="005E29D8">
        <w:rPr>
          <w:bCs/>
        </w:rPr>
        <w:t xml:space="preserve"> ресурсов сети дополнительного образования детей, экономи</w:t>
      </w:r>
      <w:r w:rsidR="009E7FE7" w:rsidRPr="005E29D8">
        <w:rPr>
          <w:bCs/>
        </w:rPr>
        <w:t>ю</w:t>
      </w:r>
      <w:r w:rsidRPr="005E29D8">
        <w:rPr>
          <w:bCs/>
        </w:rPr>
        <w:t xml:space="preserve"> бюджетных средств</w:t>
      </w:r>
      <w:r w:rsidR="009E7FE7" w:rsidRPr="005E29D8">
        <w:rPr>
          <w:bCs/>
        </w:rPr>
        <w:t>.</w:t>
      </w:r>
    </w:p>
    <w:p w:rsidR="00B3049D" w:rsidRPr="005E29D8" w:rsidRDefault="00B3049D" w:rsidP="00480CF1">
      <w:pPr>
        <w:pStyle w:val="ad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5E29D8">
        <w:rPr>
          <w:bCs/>
        </w:rPr>
        <w:t>Решение вопросов комплектования образовательных учреждений специалистами</w:t>
      </w:r>
      <w:r w:rsidR="009E7FE7" w:rsidRPr="005E29D8">
        <w:rPr>
          <w:bCs/>
        </w:rPr>
        <w:t>.</w:t>
      </w:r>
    </w:p>
    <w:p w:rsidR="00B3049D" w:rsidRPr="005E29D8" w:rsidRDefault="00B3049D" w:rsidP="00480CF1">
      <w:pPr>
        <w:pStyle w:val="ad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5E29D8">
        <w:rPr>
          <w:bCs/>
        </w:rPr>
        <w:t>Достижение вариативности дополнительных общеразвивающих программ, предоставление полного спектра услуг по дополнительному образованию детей с учетом реальных запросов потребителей и приоритетов образовательной политики.</w:t>
      </w:r>
    </w:p>
    <w:p w:rsidR="00936EDF" w:rsidRPr="005E29D8" w:rsidRDefault="00936EDF" w:rsidP="00480CF1">
      <w:pPr>
        <w:pStyle w:val="ad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5E29D8">
        <w:rPr>
          <w:bCs/>
        </w:rPr>
        <w:t xml:space="preserve">Развитие </w:t>
      </w:r>
      <w:proofErr w:type="spellStart"/>
      <w:r w:rsidRPr="005E29D8">
        <w:rPr>
          <w:bCs/>
        </w:rPr>
        <w:t>медиакультуры</w:t>
      </w:r>
      <w:proofErr w:type="spellEnd"/>
      <w:r w:rsidRPr="005E29D8">
        <w:rPr>
          <w:bCs/>
        </w:rPr>
        <w:t xml:space="preserve"> педагогических работников</w:t>
      </w:r>
    </w:p>
    <w:p w:rsidR="00BB41BF" w:rsidRDefault="00BB41BF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Дворец детского (юношеского) творчества Фрунзенского района </w:t>
      </w:r>
      <w:r w:rsidR="00A8393E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Санкт-Петербурга </w:t>
      </w:r>
      <w:r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большой опыт разнообразных форм взаимодействия по различным направлениям деятельности с учреждениями дошкольного образования, общеобразовательными учреждениями, коррекционными образовательными учреждениями, учреждениями науки, культуры и спорт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опыт социального партнерства, что позволит ему эффективно осуществить </w:t>
      </w:r>
      <w:r w:rsidR="009E7FE7" w:rsidRPr="005E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ОЭР по данной тематике и получить продукты ОЭР, которые будут востребованы в сфере дополнительного образования Санкт-Петербурга.</w:t>
      </w:r>
      <w:proofErr w:type="gramEnd"/>
    </w:p>
    <w:p w:rsidR="00480CF1" w:rsidRPr="005E29D8" w:rsidRDefault="00480CF1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4E07" w:rsidRPr="005E29D8" w:rsidRDefault="00964E07" w:rsidP="00DF01C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ОЭР</w:t>
      </w:r>
    </w:p>
    <w:p w:rsidR="00297188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023E0B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апробация </w:t>
      </w:r>
      <w:r w:rsidR="00B02294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сетевого взаимодействия образовательных организаций раз</w:t>
      </w:r>
      <w:r w:rsidR="00023E0B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="00B02294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3E0B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02294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 w:rsidR="00023E0B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2294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автономной кооперации </w:t>
      </w:r>
      <w:r w:rsidR="00297188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эффективном использовании ресурсов </w:t>
      </w:r>
      <w:r w:rsidR="00AF031F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7C512E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дополнительных общеразвивающих программ</w:t>
      </w:r>
      <w:r w:rsidR="007C512E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доступности и эффективности образовательных услуг</w:t>
      </w:r>
      <w:r w:rsidR="00297188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E07" w:rsidRPr="005E29D8" w:rsidRDefault="00964E07" w:rsidP="00480C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ОЭР</w:t>
      </w:r>
    </w:p>
    <w:p w:rsidR="00964E07" w:rsidRPr="005E29D8" w:rsidRDefault="00964E07" w:rsidP="00480CF1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нормативно-правовой базы для обеспечения эффективного взаимодействия образовательных организаций в реализации дополнительных общеразвивающих программ</w:t>
      </w:r>
      <w:r w:rsidR="00197BFA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75C" w:rsidRPr="005E29D8" w:rsidRDefault="0068175C" w:rsidP="00480CF1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создание </w:t>
      </w:r>
      <w:r w:rsidR="009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сетевого взаимодействия, включающей научные учреждения, образовательные учреждения, учреждения культуры и спорта, общественные организации.</w:t>
      </w:r>
    </w:p>
    <w:p w:rsidR="0068175C" w:rsidRPr="005E29D8" w:rsidRDefault="0068175C" w:rsidP="00480CF1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механизмов эффективного взаимодействия образовательных организаций в</w:t>
      </w:r>
      <w:r w:rsidR="00F53FC9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дополнительных общеразвивающих программ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FC9" w:rsidRPr="005E29D8" w:rsidRDefault="00023E0B" w:rsidP="00480CF1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3FC9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информационного 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 для организации</w:t>
      </w:r>
      <w:r w:rsidR="00F53FC9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образовательных организаций </w:t>
      </w:r>
      <w:r w:rsidR="009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разработке и </w:t>
      </w:r>
      <w:r w:rsidR="00F53FC9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дополнительных общеразвивающих программ.</w:t>
      </w:r>
    </w:p>
    <w:p w:rsidR="00964E07" w:rsidRPr="005E29D8" w:rsidRDefault="00964E07" w:rsidP="00480CF1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gramStart"/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повышения квалификации</w:t>
      </w:r>
      <w:r w:rsidR="0048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 образования</w:t>
      </w:r>
      <w:proofErr w:type="gramEnd"/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их эффективного участия в </w:t>
      </w:r>
      <w:r w:rsidR="00F53FC9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сетевом взаимодействии в рамках 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дополнительных общеразвивающих программ.</w:t>
      </w:r>
    </w:p>
    <w:p w:rsidR="00964E07" w:rsidRPr="00480CF1" w:rsidRDefault="00964E07" w:rsidP="00480CF1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мониторинга и диагностики эффективности разработки и </w:t>
      </w:r>
      <w:proofErr w:type="gramStart"/>
      <w:r w:rsidRPr="00480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48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общеразвивающих программ в рамках сетевого взаимодействия образовательных организаций.</w:t>
      </w:r>
    </w:p>
    <w:p w:rsidR="00964E07" w:rsidRPr="005E29D8" w:rsidRDefault="00964E07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64E07" w:rsidRPr="005E29D8" w:rsidSect="0063794A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993" w:left="1134" w:header="708" w:footer="708" w:gutter="0"/>
          <w:pgNumType w:start="0"/>
          <w:cols w:space="708"/>
          <w:titlePg/>
          <w:docGrid w:linePitch="360"/>
        </w:sectPr>
      </w:pPr>
    </w:p>
    <w:p w:rsidR="00964E07" w:rsidRPr="005E29D8" w:rsidRDefault="00964E07" w:rsidP="00DF01C1">
      <w:pPr>
        <w:widowControl w:val="0"/>
        <w:numPr>
          <w:ilvl w:val="0"/>
          <w:numId w:val="1"/>
        </w:numPr>
        <w:tabs>
          <w:tab w:val="clear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ОЭР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645"/>
        <w:gridCol w:w="4507"/>
        <w:gridCol w:w="2404"/>
        <w:gridCol w:w="2265"/>
        <w:gridCol w:w="1555"/>
      </w:tblGrid>
      <w:tr w:rsidR="00DF4C15" w:rsidRPr="005E29D8" w:rsidTr="00DF01C1">
        <w:trPr>
          <w:jc w:val="center"/>
        </w:trPr>
        <w:tc>
          <w:tcPr>
            <w:tcW w:w="1849" w:type="dxa"/>
            <w:vAlign w:val="center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lang w:eastAsia="ru-RU"/>
              </w:rPr>
              <w:t>Этап работы</w:t>
            </w:r>
          </w:p>
        </w:tc>
        <w:tc>
          <w:tcPr>
            <w:tcW w:w="2654" w:type="dxa"/>
            <w:vAlign w:val="center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этапа</w:t>
            </w:r>
          </w:p>
        </w:tc>
        <w:tc>
          <w:tcPr>
            <w:tcW w:w="4536" w:type="dxa"/>
            <w:vAlign w:val="center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работы</w:t>
            </w:r>
          </w:p>
        </w:tc>
        <w:tc>
          <w:tcPr>
            <w:tcW w:w="2410" w:type="dxa"/>
            <w:vAlign w:val="center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  <w:tc>
          <w:tcPr>
            <w:tcW w:w="2268" w:type="dxa"/>
            <w:vAlign w:val="center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 выполнение работ по этапу</w:t>
            </w:r>
          </w:p>
        </w:tc>
        <w:tc>
          <w:tcPr>
            <w:tcW w:w="1509" w:type="dxa"/>
            <w:vAlign w:val="center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</w:tr>
      <w:tr w:rsidR="00DF4C15" w:rsidRPr="005E29D8" w:rsidTr="00DF01C1">
        <w:trPr>
          <w:trHeight w:val="5041"/>
          <w:jc w:val="center"/>
        </w:trPr>
        <w:tc>
          <w:tcPr>
            <w:tcW w:w="1849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Проектировочно</w:t>
            </w:r>
            <w:proofErr w:type="spellEnd"/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-ознакомительный</w:t>
            </w:r>
          </w:p>
        </w:tc>
        <w:tc>
          <w:tcPr>
            <w:tcW w:w="2654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Оценка ресурсной базы и возможностей ДДЮТ (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SWOT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-анализ).</w:t>
            </w:r>
          </w:p>
          <w:p w:rsidR="00964E07" w:rsidRPr="005E29D8" w:rsidRDefault="00521FA5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Составление 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плана-графика мероприятий.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Разработка проекта сетевого взаимодействия и заключение договоров с партнерами.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Разработка Положения о 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Координационном совете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Изучение </w:t>
            </w:r>
            <w:r w:rsidR="00B86421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имеющегося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опыта, проведение аналогового анализа</w:t>
            </w:r>
          </w:p>
        </w:tc>
        <w:tc>
          <w:tcPr>
            <w:tcW w:w="4536" w:type="dxa"/>
          </w:tcPr>
          <w:p w:rsidR="00964E07" w:rsidRPr="005E29D8" w:rsidRDefault="00964E07" w:rsidP="00DF01C1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рабочей группы ОЭР.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основных направлений ОЭР и их научное обоснование.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ресурсов, партнеров, заключение договоров, анализ возможностей.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проекта ОЭР с участниками (детьми, родителями,</w:t>
            </w:r>
            <w:r w:rsidR="00E25C46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педагогами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партнерами).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Ознакомительные мероприятия для определения возможностей и потребностей участников.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Детальная проработка проекта ОЭР, составление перечня основных мероприятий, плана, Положения 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Координационном совете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графика реализации мероприятий.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7"/>
              </w:numPr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SWOT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-анализа проекта</w:t>
            </w:r>
          </w:p>
        </w:tc>
        <w:tc>
          <w:tcPr>
            <w:tcW w:w="2410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ресурсной основы ОЭР и возможных проблем, возникающих при 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дополнительных общеразвивающих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документы проекта</w:t>
            </w:r>
          </w:p>
        </w:tc>
        <w:tc>
          <w:tcPr>
            <w:tcW w:w="2268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SWOT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 ресурсной базы ОЭР.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План-график мероприятий.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Проект сетевого взаимодействия, договоры с партнерами.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Положение о 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Координационном совете</w:t>
            </w:r>
          </w:p>
        </w:tc>
        <w:tc>
          <w:tcPr>
            <w:tcW w:w="1509" w:type="dxa"/>
          </w:tcPr>
          <w:p w:rsidR="00964E07" w:rsidRPr="005E29D8" w:rsidRDefault="00521FA5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- 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F4C15" w:rsidRPr="005E29D8" w:rsidTr="00DF01C1">
        <w:trPr>
          <w:jc w:val="center"/>
        </w:trPr>
        <w:tc>
          <w:tcPr>
            <w:tcW w:w="1849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Подготовительный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(констатирующий)</w:t>
            </w:r>
          </w:p>
        </w:tc>
        <w:tc>
          <w:tcPr>
            <w:tcW w:w="2654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нормативно-правовой основы ОЭР.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Разработка системы мониторинга и диагностики 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эффективности сетевого взаимодействия ОУ в 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реализации дополнительных общеразвивающих программ</w:t>
            </w:r>
            <w:r w:rsidRPr="005E2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Разработка программ повышения квалификации для сотрудников на основе сетевого взаимодействия и диагностики основных профессиональных затруднений в области</w:t>
            </w:r>
            <w:r w:rsidR="00A013D8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дополнительных общеразвивающих программ</w:t>
            </w:r>
          </w:p>
        </w:tc>
        <w:tc>
          <w:tcPr>
            <w:tcW w:w="4536" w:type="dxa"/>
          </w:tcPr>
          <w:p w:rsidR="00964E07" w:rsidRPr="005E29D8" w:rsidRDefault="00964E07" w:rsidP="00DF01C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нормативно-правовой основы реализации исследования.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мониторинга и диагностики и ее апробация на констатирующем этапе эксперимента.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педагогических и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непедагогических сотрудников ОУ 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конференции по проблемам </w:t>
            </w:r>
            <w:r w:rsidR="00DF4C15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интеграции общего и дополнительного образования, создания единого образовательного пространства в области дополнительного образования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4E07" w:rsidRPr="005E29D8" w:rsidRDefault="00DF4C15" w:rsidP="00DF01C1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="00DF01C1"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</w:p>
        </w:tc>
        <w:tc>
          <w:tcPr>
            <w:tcW w:w="2410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нормативно-правовой базы ОУ.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мониторинга и диагностики эффективности </w:t>
            </w:r>
            <w:r w:rsidR="00DF4C15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дополнительных общеразвивающих программ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4E07" w:rsidRPr="005E29D8" w:rsidRDefault="00DF4C15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внутрифирменного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 для решения проблем профессиональных затруднений сотрудников</w:t>
            </w:r>
          </w:p>
        </w:tc>
        <w:tc>
          <w:tcPr>
            <w:tcW w:w="2268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Локальные акты ОУ.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Описание системы мониторинга и диагностики эффективности </w:t>
            </w:r>
            <w:r w:rsidR="00DF4C15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  <w:r w:rsidR="00DF4C15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общеразвивающих программ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Программы повышения квалификации для сотрудников.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DF4C15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</w:t>
            </w:r>
            <w:proofErr w:type="spellStart"/>
            <w:r w:rsidR="00DF4C15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="00DF4C15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Материалы конференции</w:t>
            </w:r>
          </w:p>
        </w:tc>
        <w:tc>
          <w:tcPr>
            <w:tcW w:w="1509" w:type="dxa"/>
          </w:tcPr>
          <w:p w:rsidR="00964E07" w:rsidRPr="005E29D8" w:rsidRDefault="00A013D8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</w:t>
            </w:r>
            <w:r w:rsidR="00E25C46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25C46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C9636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25C46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F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DF4C15" w:rsidRPr="005E29D8" w:rsidTr="00DF01C1">
        <w:trPr>
          <w:trHeight w:val="3024"/>
          <w:jc w:val="center"/>
        </w:trPr>
        <w:tc>
          <w:tcPr>
            <w:tcW w:w="1849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Практический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(формирующий)</w:t>
            </w:r>
          </w:p>
        </w:tc>
        <w:tc>
          <w:tcPr>
            <w:tcW w:w="2654" w:type="dxa"/>
          </w:tcPr>
          <w:p w:rsidR="002A4FE4" w:rsidRPr="005E29D8" w:rsidRDefault="00DF4C15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A4FE4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 дополнительных общеразвивающих программ</w:t>
            </w:r>
            <w:r w:rsidR="002A4FE4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Реализация  повышения квалификации сотрудников ОУ.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Обработка </w:t>
            </w:r>
            <w:r w:rsid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предварительных результатов ОЭР</w:t>
            </w:r>
          </w:p>
        </w:tc>
        <w:tc>
          <w:tcPr>
            <w:tcW w:w="4536" w:type="dxa"/>
          </w:tcPr>
          <w:p w:rsidR="00964E07" w:rsidRPr="005E29D8" w:rsidRDefault="00964E07" w:rsidP="00DF01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</w:t>
            </w:r>
            <w:r w:rsidR="002A4FE4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основных мероприятий ОЭР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промежуточных отчетов.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повышения квалификации педагогических и непедагогических сотрудников ОУ.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основных продуктов экспериментальной деятельности.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семинаров, конференций и </w:t>
            </w:r>
            <w:proofErr w:type="spellStart"/>
            <w:r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</w:p>
        </w:tc>
        <w:tc>
          <w:tcPr>
            <w:tcW w:w="2410" w:type="dxa"/>
          </w:tcPr>
          <w:p w:rsidR="00964E07" w:rsidRPr="00DF01C1" w:rsidRDefault="002A4FE4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 на базе и с использованием ресурсов сети ОУ и социальных партнеров</w:t>
            </w:r>
          </w:p>
        </w:tc>
        <w:tc>
          <w:tcPr>
            <w:tcW w:w="2268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Промежуточные отчеты о реализации исследования.</w:t>
            </w:r>
          </w:p>
          <w:p w:rsidR="00964E07" w:rsidRPr="00DF01C1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2.Методические рекомендации </w:t>
            </w:r>
            <w:r w:rsidR="002A4FE4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диагностические материалы по реализации дополнительных общеразвивающих программ</w:t>
            </w:r>
          </w:p>
        </w:tc>
        <w:tc>
          <w:tcPr>
            <w:tcW w:w="1509" w:type="dxa"/>
          </w:tcPr>
          <w:p w:rsidR="00964E07" w:rsidRPr="005E29D8" w:rsidRDefault="00E25C46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C9636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F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F4C15" w:rsidRPr="005E29D8" w:rsidTr="00DF01C1">
        <w:trPr>
          <w:trHeight w:val="2088"/>
          <w:jc w:val="center"/>
        </w:trPr>
        <w:tc>
          <w:tcPr>
            <w:tcW w:w="1849" w:type="dxa"/>
          </w:tcPr>
          <w:p w:rsidR="00964E07" w:rsidRPr="005E29D8" w:rsidRDefault="00DF01C1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.Аналитический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(контрольный)</w:t>
            </w:r>
          </w:p>
        </w:tc>
        <w:tc>
          <w:tcPr>
            <w:tcW w:w="2654" w:type="dxa"/>
          </w:tcPr>
          <w:p w:rsidR="00964E07" w:rsidRPr="005E29D8" w:rsidRDefault="00964E07" w:rsidP="00DF01C1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3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или опровержение эффективности разработанных </w:t>
            </w:r>
            <w:r w:rsidR="00DA6003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общеразвивающих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num" w:pos="35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интерпретация полученных данных</w:t>
            </w:r>
          </w:p>
        </w:tc>
        <w:tc>
          <w:tcPr>
            <w:tcW w:w="4536" w:type="dxa"/>
          </w:tcPr>
          <w:p w:rsidR="00964E07" w:rsidRPr="005E29D8" w:rsidRDefault="00964E07" w:rsidP="00DF0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итоговых мониторинговых исследований и диагностики.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итогового публичного отчета.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опыта и анализ продуктов опытно-экспериментальной деятельности участников проекта.</w:t>
            </w:r>
          </w:p>
          <w:p w:rsidR="00964E07" w:rsidRPr="005E29D8" w:rsidRDefault="00964E07" w:rsidP="00DF01C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информационного сопровождения проекта. </w:t>
            </w:r>
            <w:proofErr w:type="spellStart"/>
            <w:r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</w:t>
            </w:r>
            <w:r w:rsidR="00DF01C1" w:rsidRPr="00DF0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информационного портала</w:t>
            </w:r>
          </w:p>
        </w:tc>
        <w:tc>
          <w:tcPr>
            <w:tcW w:w="2410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отчет. Подготовка конечных продуктов исследования (программ, проектов нормативных документов, пакета локальных актов, методических рекомендаций по реализации </w:t>
            </w:r>
            <w:r w:rsidR="00E67E72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взаимодействия)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964E07" w:rsidRPr="00DF01C1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Обобщение результатов итоговых мониторинговых исследований и диагностики</w:t>
            </w:r>
          </w:p>
        </w:tc>
        <w:tc>
          <w:tcPr>
            <w:tcW w:w="1509" w:type="dxa"/>
          </w:tcPr>
          <w:p w:rsidR="00964E07" w:rsidRPr="005E29D8" w:rsidRDefault="00C9636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25C46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F4C15" w:rsidRPr="005E29D8" w:rsidTr="00DF01C1">
        <w:trPr>
          <w:jc w:val="center"/>
        </w:trPr>
        <w:tc>
          <w:tcPr>
            <w:tcW w:w="1849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Перспективно-прогностический</w:t>
            </w:r>
          </w:p>
        </w:tc>
        <w:tc>
          <w:tcPr>
            <w:tcW w:w="2654" w:type="dxa"/>
          </w:tcPr>
          <w:p w:rsidR="00964E07" w:rsidRPr="00DF01C1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Планирование дальнейшего </w:t>
            </w:r>
            <w:r w:rsidR="00C9636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цикла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4536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направлений дальнейшего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проекта.</w:t>
            </w:r>
          </w:p>
          <w:p w:rsidR="00964E07" w:rsidRPr="005E29D8" w:rsidRDefault="00E67E72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SWOT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-анализа дальнейшего развития проекта.</w:t>
            </w:r>
          </w:p>
          <w:p w:rsidR="00964E07" w:rsidRPr="00DF01C1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29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итоговой конференции</w:t>
            </w:r>
          </w:p>
        </w:tc>
        <w:tc>
          <w:tcPr>
            <w:tcW w:w="2410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Перспективный план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SWOT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 дальнейшего развития проекта</w:t>
            </w:r>
          </w:p>
        </w:tc>
        <w:tc>
          <w:tcPr>
            <w:tcW w:w="2268" w:type="dxa"/>
          </w:tcPr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SWOT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 дальнейшего развития проекта.</w:t>
            </w:r>
          </w:p>
          <w:p w:rsidR="00964E07" w:rsidRPr="005E29D8" w:rsidRDefault="00964E0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Материалы конференции</w:t>
            </w:r>
          </w:p>
        </w:tc>
        <w:tc>
          <w:tcPr>
            <w:tcW w:w="1509" w:type="dxa"/>
          </w:tcPr>
          <w:p w:rsidR="00964E07" w:rsidRPr="005E29D8" w:rsidRDefault="00C96367" w:rsidP="00DF01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F0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964E07" w:rsidRPr="005E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964E07" w:rsidRDefault="00964E07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F01C1" w:rsidRPr="00DF01C1" w:rsidRDefault="00DF01C1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DF01C1" w:rsidRPr="00DF01C1" w:rsidSect="005A544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64E07" w:rsidRPr="00DF01C1" w:rsidRDefault="00DF01C1" w:rsidP="00DF01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Конечные продукты ОЭР:</w:t>
      </w:r>
    </w:p>
    <w:p w:rsidR="00964E07" w:rsidRPr="005E29D8" w:rsidRDefault="00964E07" w:rsidP="00DF01C1">
      <w:pPr>
        <w:widowControl w:val="0"/>
        <w:numPr>
          <w:ilvl w:val="0"/>
          <w:numId w:val="15"/>
        </w:numPr>
        <w:tabs>
          <w:tab w:val="clear" w:pos="855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сетевого взаимодействия образовательных организаций в рамках реализации дополнительных общеразвивающих программ.</w:t>
      </w:r>
    </w:p>
    <w:p w:rsidR="00964E07" w:rsidRPr="005E29D8" w:rsidRDefault="00964E07" w:rsidP="00DF01C1">
      <w:pPr>
        <w:widowControl w:val="0"/>
        <w:numPr>
          <w:ilvl w:val="0"/>
          <w:numId w:val="15"/>
        </w:numPr>
        <w:tabs>
          <w:tab w:val="clear" w:pos="855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реализации Модели. </w:t>
      </w:r>
    </w:p>
    <w:p w:rsidR="00964E07" w:rsidRPr="005E29D8" w:rsidRDefault="00964E07" w:rsidP="00DF01C1">
      <w:pPr>
        <w:widowControl w:val="0"/>
        <w:numPr>
          <w:ilvl w:val="0"/>
          <w:numId w:val="15"/>
        </w:numPr>
        <w:tabs>
          <w:tab w:val="clear" w:pos="855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нормативных и (или) локальных актов по реализации Модели.</w:t>
      </w:r>
    </w:p>
    <w:p w:rsidR="00964E07" w:rsidRPr="005E29D8" w:rsidRDefault="00964E07" w:rsidP="00DF0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продукты ОЭР:</w:t>
      </w:r>
    </w:p>
    <w:p w:rsidR="00964E07" w:rsidRPr="005E29D8" w:rsidRDefault="00197BFA" w:rsidP="00DF01C1">
      <w:pPr>
        <w:pStyle w:val="ad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 xml:space="preserve">Программа мониторинга </w:t>
      </w:r>
      <w:r w:rsidR="00964E07" w:rsidRPr="005E29D8">
        <w:t>и диагностических исследований</w:t>
      </w:r>
      <w:r w:rsidR="000A5CE9" w:rsidRPr="000A5CE9">
        <w:t xml:space="preserve"> </w:t>
      </w:r>
      <w:r w:rsidR="003A01E2" w:rsidRPr="005E29D8">
        <w:t xml:space="preserve">эффективности </w:t>
      </w:r>
      <w:r w:rsidR="0066236C" w:rsidRPr="005E29D8">
        <w:t>реализации дополнительных общеразвивающих программ в рамках сетевого взаимодействия образовательных организаций</w:t>
      </w:r>
      <w:r w:rsidRPr="005E29D8">
        <w:t>.</w:t>
      </w:r>
    </w:p>
    <w:p w:rsidR="005E29D8" w:rsidRPr="005E29D8" w:rsidRDefault="00964E07" w:rsidP="00DF01C1">
      <w:pPr>
        <w:pStyle w:val="ad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E29D8">
        <w:t xml:space="preserve">Описание </w:t>
      </w:r>
      <w:r w:rsidR="005E29D8" w:rsidRPr="005E29D8">
        <w:t xml:space="preserve">и рекомендации по созданию </w:t>
      </w:r>
      <w:r w:rsidRPr="005E29D8">
        <w:t xml:space="preserve">информационного </w:t>
      </w:r>
      <w:r w:rsidR="005E29D8" w:rsidRPr="005E29D8">
        <w:t>ресурса</w:t>
      </w:r>
      <w:r w:rsidR="000A5CE9" w:rsidRPr="000A5CE9">
        <w:t xml:space="preserve"> </w:t>
      </w:r>
      <w:r w:rsidR="005E29D8" w:rsidRPr="005E29D8">
        <w:t xml:space="preserve">для организации взаимодействия образовательных организаций </w:t>
      </w:r>
      <w:r w:rsidR="009D5874">
        <w:t>по</w:t>
      </w:r>
      <w:r w:rsidR="005E29D8" w:rsidRPr="005E29D8">
        <w:t xml:space="preserve"> разработке и реализации дополнительных общеразвивающих программ.</w:t>
      </w:r>
    </w:p>
    <w:p w:rsidR="00DF01C1" w:rsidRPr="000A5CE9" w:rsidRDefault="00DF01C1" w:rsidP="00DF01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E07" w:rsidRPr="005E29D8" w:rsidRDefault="00964E07" w:rsidP="00DF01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Ресурсное обеспечение:</w:t>
      </w:r>
    </w:p>
    <w:p w:rsidR="00D12D4A" w:rsidRPr="005E29D8" w:rsidRDefault="00D12D4A" w:rsidP="00DF01C1">
      <w:pPr>
        <w:pStyle w:val="ad"/>
        <w:spacing w:line="360" w:lineRule="auto"/>
        <w:ind w:left="0" w:firstLine="709"/>
        <w:jc w:val="both"/>
        <w:rPr>
          <w:b/>
          <w:bCs/>
          <w:i/>
          <w:iCs/>
          <w:color w:val="000000"/>
        </w:rPr>
      </w:pPr>
      <w:r w:rsidRPr="005E29D8">
        <w:rPr>
          <w:b/>
          <w:bCs/>
          <w:i/>
          <w:iCs/>
          <w:color w:val="000000"/>
        </w:rPr>
        <w:t>- Кадровый состав, готовый к ведению ОЭР: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Педагогический коллектив ДДЮТ составляют 150 педагогических работников, из них: педагоги дополнительного образования – 103, педагоги-организаторы – 9, педагог-психолог – 1, концертмейстеры – 10, методисты – 15, администрация – 12.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43% педагогов Дворца имеют стаж работы от 20 до 30 лет, 30% педагогов – молодые специалисты со стажем работы до 5 лет. Более 50% педагогов с высшей квалификационной категорией.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Среди педагогов ДДЮТ:</w:t>
      </w:r>
    </w:p>
    <w:p w:rsidR="00D12D4A" w:rsidRPr="005E29D8" w:rsidRDefault="00D12D4A" w:rsidP="000A5CE9">
      <w:pPr>
        <w:pStyle w:val="ListParagraph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9D8">
        <w:rPr>
          <w:rFonts w:ascii="Times New Roman" w:hAnsi="Times New Roman"/>
          <w:sz w:val="24"/>
          <w:szCs w:val="24"/>
        </w:rPr>
        <w:t xml:space="preserve">обладатели званий: «Заслуженный учитель РФ» – 1 чел., </w:t>
      </w:r>
    </w:p>
    <w:p w:rsidR="00D12D4A" w:rsidRPr="005E29D8" w:rsidRDefault="00D12D4A" w:rsidP="000A5CE9">
      <w:pPr>
        <w:pStyle w:val="ListParagraph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9D8">
        <w:rPr>
          <w:rFonts w:ascii="Times New Roman" w:hAnsi="Times New Roman"/>
          <w:sz w:val="24"/>
          <w:szCs w:val="24"/>
        </w:rPr>
        <w:tab/>
        <w:t>«Заслуженный работник культуры РФ» – 2 чел.,</w:t>
      </w:r>
    </w:p>
    <w:p w:rsidR="00D12D4A" w:rsidRPr="005E29D8" w:rsidRDefault="00D12D4A" w:rsidP="000A5CE9">
      <w:pPr>
        <w:pStyle w:val="1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9D8">
        <w:rPr>
          <w:rFonts w:ascii="Times New Roman" w:hAnsi="Times New Roman"/>
          <w:sz w:val="24"/>
          <w:szCs w:val="24"/>
        </w:rPr>
        <w:t>Отличники народного просвещения – 8 чел.,</w:t>
      </w:r>
    </w:p>
    <w:p w:rsidR="00D12D4A" w:rsidRPr="005E29D8" w:rsidRDefault="00D12D4A" w:rsidP="000A5CE9">
      <w:pPr>
        <w:pStyle w:val="1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9D8">
        <w:rPr>
          <w:rFonts w:ascii="Times New Roman" w:hAnsi="Times New Roman"/>
          <w:sz w:val="24"/>
          <w:szCs w:val="24"/>
        </w:rPr>
        <w:t>Почетные работники общего образования Российской Федерации – 28 чел.,</w:t>
      </w:r>
    </w:p>
    <w:p w:rsidR="00D12D4A" w:rsidRPr="005E29D8" w:rsidRDefault="00D12D4A" w:rsidP="000A5CE9">
      <w:pPr>
        <w:pStyle w:val="1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9D8">
        <w:rPr>
          <w:rFonts w:ascii="Times New Roman" w:hAnsi="Times New Roman"/>
          <w:sz w:val="24"/>
          <w:szCs w:val="24"/>
        </w:rPr>
        <w:t xml:space="preserve">обладатели знака «За </w:t>
      </w:r>
      <w:proofErr w:type="spellStart"/>
      <w:r w:rsidRPr="005E29D8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5E29D8">
        <w:rPr>
          <w:rFonts w:ascii="Times New Roman" w:hAnsi="Times New Roman"/>
          <w:sz w:val="24"/>
          <w:szCs w:val="24"/>
        </w:rPr>
        <w:t xml:space="preserve"> школы Санкт-Петербурга» – 12 чел.,</w:t>
      </w:r>
    </w:p>
    <w:p w:rsidR="00D12D4A" w:rsidRPr="005E29D8" w:rsidRDefault="00D12D4A" w:rsidP="000A5CE9">
      <w:pPr>
        <w:pStyle w:val="1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9D8">
        <w:rPr>
          <w:rFonts w:ascii="Times New Roman" w:hAnsi="Times New Roman"/>
          <w:sz w:val="24"/>
          <w:szCs w:val="24"/>
        </w:rPr>
        <w:t>обладатели Премии «Лучший педагог дополнительного образования» – 8 чел.,</w:t>
      </w:r>
    </w:p>
    <w:p w:rsidR="00D12D4A" w:rsidRPr="005E29D8" w:rsidRDefault="00D12D4A" w:rsidP="000A5CE9">
      <w:pPr>
        <w:pStyle w:val="1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E29D8">
        <w:rPr>
          <w:rFonts w:ascii="Times New Roman" w:hAnsi="Times New Roman"/>
          <w:spacing w:val="-6"/>
          <w:sz w:val="24"/>
          <w:szCs w:val="24"/>
        </w:rPr>
        <w:t>кандидаты наук/доктора наук – 4/1 чел., аспиранты – 3 чел.,</w:t>
      </w:r>
    </w:p>
    <w:p w:rsidR="00D12D4A" w:rsidRPr="005E29D8" w:rsidRDefault="00D12D4A" w:rsidP="000A5CE9">
      <w:pPr>
        <w:pStyle w:val="11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E29D8">
        <w:rPr>
          <w:rFonts w:ascii="Times New Roman" w:hAnsi="Times New Roman"/>
          <w:spacing w:val="-6"/>
          <w:sz w:val="24"/>
          <w:szCs w:val="24"/>
        </w:rPr>
        <w:t xml:space="preserve">победители и лауреаты регионального конкурса профессионального мастерства </w:t>
      </w:r>
    </w:p>
    <w:p w:rsidR="00D12D4A" w:rsidRPr="005E29D8" w:rsidRDefault="00D12D4A" w:rsidP="000A5CE9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9D8">
        <w:rPr>
          <w:rFonts w:ascii="Times New Roman" w:hAnsi="Times New Roman"/>
        </w:rPr>
        <w:tab/>
      </w:r>
      <w:r w:rsidRPr="005E29D8">
        <w:rPr>
          <w:rFonts w:ascii="Times New Roman" w:hAnsi="Times New Roman"/>
          <w:sz w:val="24"/>
          <w:szCs w:val="24"/>
        </w:rPr>
        <w:t>«Сердце отдаю детям» - 6 чел.</w:t>
      </w:r>
    </w:p>
    <w:p w:rsidR="00D12D4A" w:rsidRPr="005E29D8" w:rsidRDefault="00D12D4A" w:rsidP="00DF01C1">
      <w:pPr>
        <w:pStyle w:val="1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A5CE9" w:rsidRDefault="00D12D4A" w:rsidP="000A5CE9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Педагогический коллектив ДДЮТ обладает высоким уровнем инновационной и организационной культуры, имеет 20-летний опыт экспериментальной деятельности как городского, так и районного уровня.</w:t>
      </w:r>
    </w:p>
    <w:p w:rsidR="000A5CE9" w:rsidRPr="005E29D8" w:rsidRDefault="000A5CE9" w:rsidP="000A5CE9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D4A" w:rsidRPr="005E29D8" w:rsidRDefault="000A5CE9" w:rsidP="000A5CE9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профессиональной деятельности п</w:t>
      </w:r>
      <w:r w:rsidR="00D12D4A" w:rsidRPr="005E29D8">
        <w:rPr>
          <w:rFonts w:ascii="Times New Roman" w:hAnsi="Times New Roman" w:cs="Times New Roman"/>
          <w:sz w:val="24"/>
          <w:szCs w:val="24"/>
        </w:rPr>
        <w:t>едагогических работников подтверждаются наличием достижений различного уровня: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- ДДЮТ - лауреат всероссийского конкурса «</w:t>
      </w:r>
      <w:r w:rsidR="005439CD">
        <w:rPr>
          <w:rFonts w:ascii="Times New Roman" w:hAnsi="Times New Roman" w:cs="Times New Roman"/>
          <w:sz w:val="24"/>
          <w:szCs w:val="24"/>
        </w:rPr>
        <w:t>Управление современной школой»,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 xml:space="preserve">победитель городского смотра-конкурса </w:t>
      </w:r>
      <w:proofErr w:type="gramStart"/>
      <w:r w:rsidRPr="005E29D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543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9D8">
        <w:rPr>
          <w:rFonts w:ascii="Times New Roman" w:hAnsi="Times New Roman" w:cs="Times New Roman"/>
          <w:sz w:val="24"/>
          <w:szCs w:val="24"/>
        </w:rPr>
        <w:t>УДОД</w:t>
      </w:r>
      <w:proofErr w:type="gramEnd"/>
      <w:r w:rsidRPr="005E29D8">
        <w:rPr>
          <w:rFonts w:ascii="Times New Roman" w:hAnsi="Times New Roman" w:cs="Times New Roman"/>
          <w:sz w:val="24"/>
          <w:szCs w:val="24"/>
        </w:rPr>
        <w:t xml:space="preserve"> в номинации «Дворец» (</w:t>
      </w:r>
      <w:smartTag w:uri="urn:schemas-microsoft-com:office:smarttags" w:element="metricconverter">
        <w:smartTagPr>
          <w:attr w:name="ProductID" w:val="2010 г"/>
        </w:smartTagPr>
        <w:r w:rsidRPr="005E29D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439CD">
        <w:rPr>
          <w:rFonts w:ascii="Times New Roman" w:hAnsi="Times New Roman" w:cs="Times New Roman"/>
          <w:sz w:val="24"/>
          <w:szCs w:val="24"/>
        </w:rPr>
        <w:t>.);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 xml:space="preserve">- директор ДДЮТ отмечена Благодарностью Комитета Государственной Думы по образованию, награждена нагрудным знаком </w:t>
      </w:r>
      <w:r w:rsidRPr="005E29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29D8">
        <w:rPr>
          <w:rFonts w:ascii="Times New Roman" w:hAnsi="Times New Roman" w:cs="Times New Roman"/>
          <w:sz w:val="24"/>
          <w:szCs w:val="24"/>
        </w:rPr>
        <w:t xml:space="preserve"> Всероссийской педагогической ассамблеи «Достояние образования», обладатель медали Благотворительного Фонда «Наследие Менделеева» «За службу образованию» (</w:t>
      </w:r>
      <w:smartTag w:uri="urn:schemas-microsoft-com:office:smarttags" w:element="metricconverter">
        <w:smartTagPr>
          <w:attr w:name="ProductID" w:val="2010 г"/>
        </w:smartTagPr>
        <w:r w:rsidRPr="005E29D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E29D8">
        <w:rPr>
          <w:rFonts w:ascii="Times New Roman" w:hAnsi="Times New Roman" w:cs="Times New Roman"/>
          <w:sz w:val="24"/>
          <w:szCs w:val="24"/>
        </w:rPr>
        <w:t>.);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- Дворец - победитель Всероссийского конкурса «Управление образованием на муниципальном уровне» в рамках IV Всероссийской педагогической ассамблеи «Достояние образования» (</w:t>
      </w:r>
      <w:smartTag w:uri="urn:schemas-microsoft-com:office:smarttags" w:element="metricconverter">
        <w:smartTagPr>
          <w:attr w:name="ProductID" w:val="2011 г"/>
        </w:smartTagPr>
        <w:r w:rsidRPr="005E29D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E29D8">
        <w:rPr>
          <w:rFonts w:ascii="Times New Roman" w:hAnsi="Times New Roman" w:cs="Times New Roman"/>
          <w:sz w:val="24"/>
          <w:szCs w:val="24"/>
        </w:rPr>
        <w:t>.);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- два педагога - победители Всероссийского конкурса методических разработок педагогов, реализующих образовательные программы технической направленности (2012, 2013 гг.)</w:t>
      </w:r>
      <w:r w:rsidR="005439CD">
        <w:rPr>
          <w:rFonts w:ascii="Times New Roman" w:hAnsi="Times New Roman" w:cs="Times New Roman"/>
          <w:sz w:val="24"/>
          <w:szCs w:val="24"/>
        </w:rPr>
        <w:t>;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- два педагога - победители Всероссийского конкурса профессионального мастерства «М</w:t>
      </w:r>
      <w:r w:rsidR="005439CD">
        <w:rPr>
          <w:rFonts w:ascii="Times New Roman" w:hAnsi="Times New Roman" w:cs="Times New Roman"/>
          <w:sz w:val="24"/>
          <w:szCs w:val="24"/>
        </w:rPr>
        <w:t>ой лучший урок» (2013,2014 гг.).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В год 95-летия системы дополнительного образования ДДЮТ получает Благодарность Комитета по образованию Санкт-Петербурга «За развитие социального партнерства».</w:t>
      </w:r>
    </w:p>
    <w:p w:rsidR="00D12D4A" w:rsidRPr="005E29D8" w:rsidRDefault="00D12D4A" w:rsidP="00DF01C1">
      <w:pPr>
        <w:tabs>
          <w:tab w:val="left" w:pos="9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В 2013-2014 учебном году Дворец в четвертый принимает финалистов X</w:t>
      </w:r>
      <w:r w:rsidR="005439CD">
        <w:rPr>
          <w:rFonts w:ascii="Times New Roman" w:hAnsi="Times New Roman" w:cs="Times New Roman"/>
          <w:sz w:val="24"/>
          <w:szCs w:val="24"/>
        </w:rPr>
        <w:t> </w:t>
      </w:r>
      <w:r w:rsidRPr="005E29D8">
        <w:rPr>
          <w:rFonts w:ascii="Times New Roman" w:hAnsi="Times New Roman" w:cs="Times New Roman"/>
          <w:sz w:val="24"/>
          <w:szCs w:val="24"/>
        </w:rPr>
        <w:t>Всероссийского конкурса педагогов дополнительного образования «Сердце отдаю детям» по номинации «Изобразительное и декоративно-прикладное творчество»; встречает педагогов детских театров моды и студий костюма Ассоциации детских творческих объединений «Золотая игла».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Предложение по кандидатуре научного руководителя: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9D8">
        <w:rPr>
          <w:rFonts w:ascii="Times New Roman" w:hAnsi="Times New Roman" w:cs="Times New Roman"/>
          <w:sz w:val="24"/>
          <w:szCs w:val="24"/>
        </w:rPr>
        <w:t>Суртаева</w:t>
      </w:r>
      <w:proofErr w:type="spellEnd"/>
      <w:r w:rsidRPr="005E29D8">
        <w:rPr>
          <w:rFonts w:ascii="Times New Roman" w:hAnsi="Times New Roman" w:cs="Times New Roman"/>
          <w:sz w:val="24"/>
          <w:szCs w:val="24"/>
        </w:rPr>
        <w:t xml:space="preserve"> Надежда Николаевна,</w:t>
      </w:r>
    </w:p>
    <w:p w:rsidR="00D12D4A" w:rsidRPr="005E29D8" w:rsidRDefault="00D12D4A" w:rsidP="00543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доктор педагогических наук, профессор кафедры социальной педагогики ФГБОУ ВПО РГПУ им. А.И. Герцена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2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Материально-техническая база, соответствующая задачам ОЭР: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E29D8">
        <w:rPr>
          <w:rFonts w:ascii="Times New Roman" w:hAnsi="Times New Roman" w:cs="Times New Roman"/>
          <w:color w:val="1D1B11"/>
          <w:sz w:val="24"/>
          <w:szCs w:val="24"/>
        </w:rPr>
        <w:t xml:space="preserve">Учебно-материальная база ДДЮТ соответствует образовательным программам, нормам и правилам СанПиНа. Учебные кабинеты оснащены компьютерами, телевизорами, видео- и аудиоаппаратурой, множительной копировальной техникой и специальным оборудованием в соответствии со спецификой коллективов (хореографические станки, гимнастические скамейки, велотренажеры, мастерские со станочным оборудованием, обзорные террариумы и др.). 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E29D8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Три компьютерных класса оборудованы компьютерами, графическими планшетами, презентационной техникой, интерактивными досками, интерактивной приставкой </w:t>
      </w:r>
      <w:proofErr w:type="spellStart"/>
      <w:r w:rsidRPr="005E29D8">
        <w:rPr>
          <w:rFonts w:ascii="Times New Roman" w:hAnsi="Times New Roman" w:cs="Times New Roman"/>
          <w:color w:val="1D1B11"/>
          <w:sz w:val="24"/>
          <w:szCs w:val="24"/>
          <w:lang w:val="en-US"/>
        </w:rPr>
        <w:t>Mimio</w:t>
      </w:r>
      <w:proofErr w:type="spellEnd"/>
      <w:r w:rsidR="005439CD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5E29D8">
        <w:rPr>
          <w:rFonts w:ascii="Times New Roman" w:hAnsi="Times New Roman" w:cs="Times New Roman"/>
          <w:color w:val="1D1B11"/>
          <w:sz w:val="24"/>
          <w:szCs w:val="24"/>
        </w:rPr>
        <w:t>Во Дворце функционируют:</w:t>
      </w:r>
    </w:p>
    <w:p w:rsidR="00D12D4A" w:rsidRPr="005E29D8" w:rsidRDefault="00D12D4A" w:rsidP="005439CD">
      <w:pPr>
        <w:pStyle w:val="ListParagraph1"/>
        <w:numPr>
          <w:ilvl w:val="0"/>
          <w:numId w:val="2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5E29D8">
        <w:rPr>
          <w:rFonts w:ascii="Times New Roman" w:hAnsi="Times New Roman"/>
          <w:color w:val="1D1B11"/>
          <w:sz w:val="24"/>
          <w:szCs w:val="24"/>
        </w:rPr>
        <w:t>театрально-концертный зал и зал для проведения массовых мероприятий со звуковой и видеотехникой, мультимедийными техническими средствами;</w:t>
      </w:r>
    </w:p>
    <w:p w:rsidR="00D12D4A" w:rsidRPr="005E29D8" w:rsidRDefault="00D12D4A" w:rsidP="005439CD">
      <w:pPr>
        <w:pStyle w:val="ListParagraph1"/>
        <w:numPr>
          <w:ilvl w:val="0"/>
          <w:numId w:val="2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5E29D8">
        <w:rPr>
          <w:rFonts w:ascii="Times New Roman" w:hAnsi="Times New Roman"/>
          <w:sz w:val="24"/>
          <w:szCs w:val="24"/>
        </w:rPr>
        <w:t>автоматизированные рабочие</w:t>
      </w:r>
      <w:r w:rsidRPr="005E29D8">
        <w:rPr>
          <w:rFonts w:ascii="Times New Roman" w:hAnsi="Times New Roman"/>
          <w:color w:val="1D1B11"/>
          <w:sz w:val="24"/>
          <w:szCs w:val="24"/>
        </w:rPr>
        <w:t xml:space="preserve"> места </w:t>
      </w:r>
      <w:r w:rsidRPr="005E29D8">
        <w:rPr>
          <w:rFonts w:ascii="Times New Roman" w:hAnsi="Times New Roman"/>
          <w:sz w:val="24"/>
          <w:szCs w:val="24"/>
        </w:rPr>
        <w:t>(АРМ)</w:t>
      </w:r>
      <w:r w:rsidRPr="005E29D8">
        <w:rPr>
          <w:rFonts w:ascii="Times New Roman" w:hAnsi="Times New Roman"/>
          <w:color w:val="1D1B11"/>
          <w:sz w:val="24"/>
          <w:szCs w:val="24"/>
        </w:rPr>
        <w:t>для административных сотрудников, бухгалтерии и педагогов отделов ДДЮТ;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Для реализации ОЭР в учреждении: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 xml:space="preserve">- создано единое информационное пространство </w:t>
      </w:r>
      <w:r w:rsidRPr="005E29D8">
        <w:rPr>
          <w:rFonts w:ascii="Times New Roman" w:hAnsi="Times New Roman" w:cs="Times New Roman"/>
          <w:sz w:val="24"/>
          <w:szCs w:val="24"/>
        </w:rPr>
        <w:t>через сетевой диск, функционирование которого оперативно связывает все отделы по вопросам управления и организации образовательного процесса;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 xml:space="preserve">- ресурсы </w:t>
      </w:r>
      <w:proofErr w:type="spellStart"/>
      <w:r w:rsidRPr="005E29D8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5E29D8">
        <w:rPr>
          <w:rFonts w:ascii="Times New Roman" w:hAnsi="Times New Roman" w:cs="Times New Roman"/>
          <w:sz w:val="24"/>
          <w:szCs w:val="24"/>
        </w:rPr>
        <w:t>, методического кабинета насчитывают более 600 единиц методических материалов, электронных образовательных ресурсов;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sz w:val="24"/>
          <w:szCs w:val="24"/>
        </w:rPr>
        <w:t>- наличие</w:t>
      </w:r>
      <w:r w:rsidRPr="005E29D8">
        <w:rPr>
          <w:rFonts w:ascii="Times New Roman" w:hAnsi="Times New Roman" w:cs="Times New Roman"/>
          <w:color w:val="000000"/>
          <w:sz w:val="24"/>
          <w:szCs w:val="24"/>
        </w:rPr>
        <w:t xml:space="preserve"> двух концертных залов, оснащенных мультимедийным оборудованием, для проведения семинаров, конференций и др.;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- сайт ДДЮТ и сайты отделов (всего более 10 сайтов, блогов, порталов).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Финансовая обеспеченность ОЭР: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Финансирование ОЭР производится в зависимости от реализации конкретного мероприятия за счет: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- финансовой поддержки районного бюджета;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- финансовой поддержки администрации муниципального округа;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- финансовой поддержки по целевым депутатским программам;</w:t>
      </w:r>
    </w:p>
    <w:p w:rsidR="00D12D4A" w:rsidRPr="005E29D8" w:rsidRDefault="00D12D4A" w:rsidP="00DF01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- внебюджетных средств, получаемых за счет образовательных и сопутствующих услуг, оказание благотворительной помощи;</w:t>
      </w:r>
    </w:p>
    <w:p w:rsidR="00964E07" w:rsidRPr="005E29D8" w:rsidRDefault="00D12D4A" w:rsidP="00DF01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hAnsi="Times New Roman" w:cs="Times New Roman"/>
          <w:color w:val="000000"/>
          <w:sz w:val="24"/>
          <w:szCs w:val="24"/>
        </w:rPr>
        <w:t>- возможности получения средств о</w:t>
      </w:r>
    </w:p>
    <w:p w:rsidR="00964E07" w:rsidRPr="005E29D8" w:rsidRDefault="00D12D4A" w:rsidP="00DF01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964E07" w:rsidRPr="005E29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Партнерские ресурсы</w:t>
      </w:r>
      <w:r w:rsidR="00964E07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(представители научных и общественных организаций, учебных и общественных организаций</w:t>
      </w:r>
      <w:r w:rsidR="0066236C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4E07" w:rsidRPr="005E29D8" w:rsidRDefault="00964E07" w:rsidP="005439CD">
      <w:pPr>
        <w:widowControl w:val="0"/>
        <w:numPr>
          <w:ilvl w:val="0"/>
          <w:numId w:val="16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4F34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нформационно-методический центр</w:t>
      </w:r>
      <w:r w:rsidR="0054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7A5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Фрунзенского</w:t>
      </w: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Санкт-Петербурга;</w:t>
      </w:r>
    </w:p>
    <w:p w:rsidR="0066236C" w:rsidRPr="005E29D8" w:rsidRDefault="0066236C" w:rsidP="005439CD">
      <w:pPr>
        <w:widowControl w:val="0"/>
        <w:numPr>
          <w:ilvl w:val="0"/>
          <w:numId w:val="16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D4F34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анкт-Петербургский городской дворец творчества юных</w:t>
      </w:r>
      <w:r w:rsidR="00D12D4A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D4A" w:rsidRPr="005E29D8" w:rsidRDefault="0066236C" w:rsidP="005439CD">
      <w:pPr>
        <w:widowControl w:val="0"/>
        <w:numPr>
          <w:ilvl w:val="0"/>
          <w:numId w:val="16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 детей Фрунзенского района</w:t>
      </w:r>
      <w:r w:rsidR="00D12D4A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36C" w:rsidRPr="005E29D8" w:rsidRDefault="0066236C" w:rsidP="005439CD">
      <w:pPr>
        <w:widowControl w:val="0"/>
        <w:numPr>
          <w:ilvl w:val="0"/>
          <w:numId w:val="16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 Фрунзенского района</w:t>
      </w:r>
      <w:r w:rsidR="00D12D4A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дополнительные общеразвивающие программы;</w:t>
      </w:r>
    </w:p>
    <w:p w:rsidR="00D12D4A" w:rsidRPr="005E29D8" w:rsidRDefault="0066236C" w:rsidP="005439CD">
      <w:pPr>
        <w:widowControl w:val="0"/>
        <w:numPr>
          <w:ilvl w:val="0"/>
          <w:numId w:val="16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учреждения Фрунзенского района</w:t>
      </w:r>
      <w:r w:rsidR="00D12D4A" w:rsidRPr="005E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дополнительные общеразвивающие программы;</w:t>
      </w:r>
    </w:p>
    <w:p w:rsidR="00D12D4A" w:rsidRPr="005E29D8" w:rsidRDefault="00D12D4A" w:rsidP="005439CD">
      <w:pPr>
        <w:pStyle w:val="ad"/>
        <w:numPr>
          <w:ilvl w:val="0"/>
          <w:numId w:val="16"/>
        </w:numPr>
        <w:tabs>
          <w:tab w:val="clear" w:pos="360"/>
          <w:tab w:val="num" w:pos="993"/>
        </w:tabs>
        <w:spacing w:line="360" w:lineRule="auto"/>
        <w:ind w:left="0" w:firstLine="709"/>
      </w:pPr>
      <w:r w:rsidRPr="005E29D8">
        <w:lastRenderedPageBreak/>
        <w:t>ГБОУ Детский дом №11 Фрунзенского района</w:t>
      </w:r>
      <w:r w:rsidR="0059631B" w:rsidRPr="005E29D8">
        <w:t>;</w:t>
      </w:r>
    </w:p>
    <w:p w:rsidR="00D12D4A" w:rsidRPr="005E29D8" w:rsidRDefault="00D12D4A" w:rsidP="005439CD">
      <w:pPr>
        <w:pStyle w:val="ad"/>
        <w:numPr>
          <w:ilvl w:val="0"/>
          <w:numId w:val="16"/>
        </w:numPr>
        <w:tabs>
          <w:tab w:val="clear" w:pos="360"/>
          <w:tab w:val="num" w:pos="993"/>
        </w:tabs>
        <w:spacing w:line="360" w:lineRule="auto"/>
        <w:ind w:left="0" w:firstLine="709"/>
      </w:pPr>
      <w:r w:rsidRPr="005E29D8">
        <w:t>Центр реабилитации детей и подростков Фрунзенского района</w:t>
      </w:r>
      <w:r w:rsidR="0059631B" w:rsidRPr="005E29D8">
        <w:t>;</w:t>
      </w:r>
    </w:p>
    <w:p w:rsidR="00D12D4A" w:rsidRPr="005E29D8" w:rsidRDefault="00D12D4A" w:rsidP="005439CD">
      <w:pPr>
        <w:pStyle w:val="ad"/>
        <w:numPr>
          <w:ilvl w:val="0"/>
          <w:numId w:val="16"/>
        </w:numPr>
        <w:tabs>
          <w:tab w:val="clear" w:pos="360"/>
          <w:tab w:val="num" w:pos="993"/>
        </w:tabs>
        <w:spacing w:line="360" w:lineRule="auto"/>
        <w:ind w:left="0" w:firstLine="709"/>
      </w:pPr>
      <w:r w:rsidRPr="005E29D8">
        <w:t>Международная школа иностранных языков «Бенедикт-школа»</w:t>
      </w:r>
      <w:r w:rsidR="0059631B" w:rsidRPr="005E29D8">
        <w:t>;</w:t>
      </w:r>
    </w:p>
    <w:p w:rsidR="003D4F34" w:rsidRPr="005E29D8" w:rsidRDefault="005E29D8" w:rsidP="005439CD">
      <w:pPr>
        <w:pStyle w:val="ad"/>
        <w:numPr>
          <w:ilvl w:val="0"/>
          <w:numId w:val="16"/>
        </w:numPr>
        <w:tabs>
          <w:tab w:val="clear" w:pos="360"/>
          <w:tab w:val="num" w:pos="993"/>
        </w:tabs>
        <w:spacing w:line="360" w:lineRule="auto"/>
        <w:ind w:left="0" w:firstLine="709"/>
      </w:pPr>
      <w:r>
        <w:t xml:space="preserve">ФГНУ </w:t>
      </w:r>
      <w:r w:rsidR="003D4F34" w:rsidRPr="005E29D8">
        <w:t>Институт педагогиче</w:t>
      </w:r>
      <w:r>
        <w:t>ск</w:t>
      </w:r>
      <w:r w:rsidR="003D4F34" w:rsidRPr="005E29D8">
        <w:t xml:space="preserve">ого образования </w:t>
      </w:r>
      <w:r>
        <w:t xml:space="preserve">и образования взрослых </w:t>
      </w:r>
      <w:r w:rsidR="003D4F34" w:rsidRPr="005E29D8">
        <w:t>Р</w:t>
      </w:r>
      <w:r>
        <w:t>оссийской академии образования;</w:t>
      </w:r>
    </w:p>
    <w:p w:rsidR="00521FA5" w:rsidRPr="005E29D8" w:rsidRDefault="00D12D4A" w:rsidP="005439CD">
      <w:pPr>
        <w:widowControl w:val="0"/>
        <w:numPr>
          <w:ilvl w:val="0"/>
          <w:numId w:val="16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hAnsi="Times New Roman" w:cs="Times New Roman"/>
          <w:sz w:val="24"/>
          <w:szCs w:val="24"/>
        </w:rPr>
        <w:t>Высшие учебные заведения Санкт-Петербурга (РГПУ им. А.И.</w:t>
      </w:r>
      <w:r w:rsidR="005439CD">
        <w:rPr>
          <w:rFonts w:ascii="Times New Roman" w:hAnsi="Times New Roman" w:cs="Times New Roman"/>
          <w:sz w:val="24"/>
          <w:szCs w:val="24"/>
        </w:rPr>
        <w:t xml:space="preserve"> </w:t>
      </w:r>
      <w:r w:rsidRPr="005E29D8">
        <w:rPr>
          <w:rFonts w:ascii="Times New Roman" w:hAnsi="Times New Roman" w:cs="Times New Roman"/>
          <w:sz w:val="24"/>
          <w:szCs w:val="24"/>
        </w:rPr>
        <w:t>Гер</w:t>
      </w:r>
      <w:r w:rsidR="005439CD">
        <w:rPr>
          <w:rFonts w:ascii="Times New Roman" w:hAnsi="Times New Roman" w:cs="Times New Roman"/>
          <w:sz w:val="24"/>
          <w:szCs w:val="24"/>
        </w:rPr>
        <w:t xml:space="preserve">цена, </w:t>
      </w:r>
      <w:proofErr w:type="spellStart"/>
      <w:r w:rsidR="005439CD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5439CD">
        <w:rPr>
          <w:rFonts w:ascii="Times New Roman" w:hAnsi="Times New Roman" w:cs="Times New Roman"/>
          <w:sz w:val="24"/>
          <w:szCs w:val="24"/>
        </w:rPr>
        <w:t>, БГТУ «</w:t>
      </w:r>
      <w:proofErr w:type="spellStart"/>
      <w:r w:rsidR="005439CD"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 w:rsidR="005439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E29D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5E29D8">
        <w:rPr>
          <w:rFonts w:ascii="Times New Roman" w:hAnsi="Times New Roman" w:cs="Times New Roman"/>
          <w:sz w:val="24"/>
          <w:szCs w:val="24"/>
        </w:rPr>
        <w:t>, Ленинградский областной институт развития образования)</w:t>
      </w:r>
      <w:r w:rsidR="0059631B" w:rsidRPr="005E29D8">
        <w:rPr>
          <w:rFonts w:ascii="Times New Roman" w:hAnsi="Times New Roman" w:cs="Times New Roman"/>
          <w:sz w:val="24"/>
          <w:szCs w:val="24"/>
        </w:rPr>
        <w:t>;</w:t>
      </w:r>
    </w:p>
    <w:p w:rsidR="0066236C" w:rsidRPr="005E29D8" w:rsidRDefault="00D12D4A" w:rsidP="005439CD">
      <w:pPr>
        <w:widowControl w:val="0"/>
        <w:numPr>
          <w:ilvl w:val="0"/>
          <w:numId w:val="16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D8">
        <w:rPr>
          <w:rFonts w:ascii="Times New Roman" w:hAnsi="Times New Roman" w:cs="Times New Roman"/>
          <w:sz w:val="24"/>
          <w:szCs w:val="24"/>
        </w:rPr>
        <w:t>Всероссийская ассоциация детских творческих объединений «Золотая игла»</w:t>
      </w:r>
      <w:r w:rsidR="003D4F34" w:rsidRPr="005E29D8">
        <w:rPr>
          <w:rFonts w:ascii="Times New Roman" w:hAnsi="Times New Roman" w:cs="Times New Roman"/>
          <w:sz w:val="24"/>
          <w:szCs w:val="24"/>
        </w:rPr>
        <w:t>.</w:t>
      </w:r>
    </w:p>
    <w:p w:rsidR="005439CD" w:rsidRDefault="005439CD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4E07" w:rsidRPr="005E29D8" w:rsidRDefault="00964E07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5E2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E2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и показатели эффективности ОЭР, в </w:t>
      </w:r>
      <w:proofErr w:type="spellStart"/>
      <w:r w:rsidRPr="005E2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т.ч</w:t>
      </w:r>
      <w:proofErr w:type="spellEnd"/>
      <w:r w:rsidRPr="005E2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описание системы мониторинговых исследований за ходом реализации эксперимента</w:t>
      </w:r>
    </w:p>
    <w:p w:rsidR="00964E07" w:rsidRPr="005E29D8" w:rsidRDefault="00964E07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2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2947"/>
      </w:tblGrid>
      <w:tr w:rsidR="00964E07" w:rsidRPr="005E29D8" w:rsidTr="005439CD">
        <w:trPr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07" w:rsidRPr="005E29D8" w:rsidRDefault="00964E07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07" w:rsidRPr="005E29D8" w:rsidRDefault="00964E07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E07" w:rsidRPr="005E29D8" w:rsidRDefault="00964E07" w:rsidP="005439CD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360" w:lineRule="auto"/>
              <w:ind w:firstLine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964E07" w:rsidRPr="005E29D8" w:rsidTr="005439CD">
        <w:trPr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07" w:rsidRPr="005E29D8" w:rsidRDefault="00964E07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r w:rsidR="00FB0C75"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дополнительных общеразвивающих программ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07" w:rsidRPr="005E29D8" w:rsidRDefault="00FB0C75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потребностей и запросов обучающихся,</w:t>
            </w:r>
            <w:r w:rsidR="00964E07"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родителей, </w:t>
            </w: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07" w:rsidRPr="005E29D8" w:rsidRDefault="00964E07" w:rsidP="005439CD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Анкетиров</w:t>
            </w:r>
            <w:r w:rsidR="00FB0C75" w:rsidRPr="005E29D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ание, собеседование, наблюдение</w:t>
            </w:r>
          </w:p>
        </w:tc>
      </w:tr>
      <w:tr w:rsidR="00964E07" w:rsidRPr="005E29D8" w:rsidTr="005439CD">
        <w:trPr>
          <w:jc w:val="center"/>
        </w:trPr>
        <w:tc>
          <w:tcPr>
            <w:tcW w:w="3588" w:type="dxa"/>
          </w:tcPr>
          <w:p w:rsidR="00964E07" w:rsidRPr="005E29D8" w:rsidRDefault="00231587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B0C75"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езультативност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B0C75"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освоении дополнительных общеразвивающих программ</w:t>
            </w:r>
          </w:p>
        </w:tc>
        <w:tc>
          <w:tcPr>
            <w:tcW w:w="3588" w:type="dxa"/>
          </w:tcPr>
          <w:p w:rsidR="00964E07" w:rsidRPr="005E29D8" w:rsidRDefault="00964E07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FB0C75"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успешного освоения </w:t>
            </w:r>
            <w:r w:rsidR="003C62C2"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54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75"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2947" w:type="dxa"/>
          </w:tcPr>
          <w:p w:rsidR="00964E07" w:rsidRPr="005E29D8" w:rsidRDefault="003C62C2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Диагностика результатов освоения учащимися дополнительных общеразвивающих программ</w:t>
            </w:r>
          </w:p>
        </w:tc>
      </w:tr>
      <w:tr w:rsidR="00964E07" w:rsidRPr="005E29D8" w:rsidTr="005439CD">
        <w:trPr>
          <w:trHeight w:val="1275"/>
          <w:jc w:val="center"/>
        </w:trPr>
        <w:tc>
          <w:tcPr>
            <w:tcW w:w="3588" w:type="dxa"/>
          </w:tcPr>
          <w:p w:rsidR="00964E07" w:rsidRPr="005E29D8" w:rsidRDefault="00231587" w:rsidP="005439CD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="003C62C2"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участия обучающихся в творческих конкурсах, фестивалях, олимпиадах, соревнованиях</w:t>
            </w:r>
          </w:p>
        </w:tc>
        <w:tc>
          <w:tcPr>
            <w:tcW w:w="3588" w:type="dxa"/>
          </w:tcPr>
          <w:p w:rsidR="00964E07" w:rsidRPr="005E29D8" w:rsidRDefault="003C62C2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Успешность участия обучающихся в творческих конкурсах, фестивалях, олимпиадах, соревнованиях</w:t>
            </w:r>
          </w:p>
        </w:tc>
        <w:tc>
          <w:tcPr>
            <w:tcW w:w="2947" w:type="dxa"/>
          </w:tcPr>
          <w:p w:rsidR="00964E07" w:rsidRPr="005E29D8" w:rsidRDefault="003C62C2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творческих достижений учащихся</w:t>
            </w:r>
          </w:p>
        </w:tc>
      </w:tr>
      <w:tr w:rsidR="00964E07" w:rsidRPr="005E29D8" w:rsidTr="005439CD">
        <w:trPr>
          <w:jc w:val="center"/>
        </w:trPr>
        <w:tc>
          <w:tcPr>
            <w:tcW w:w="3588" w:type="dxa"/>
          </w:tcPr>
          <w:p w:rsidR="00964E07" w:rsidRPr="005E29D8" w:rsidRDefault="003C62C2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профессиональной компетентности педагогов в реализации дополнительных общеразвивающих программ</w:t>
            </w:r>
            <w:r w:rsidR="00964E07" w:rsidRPr="005E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8" w:type="dxa"/>
          </w:tcPr>
          <w:p w:rsidR="00964E07" w:rsidRPr="005E29D8" w:rsidRDefault="003C62C2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в реализации дополнительных общеразвивающих программ</w:t>
            </w:r>
          </w:p>
        </w:tc>
        <w:tc>
          <w:tcPr>
            <w:tcW w:w="2947" w:type="dxa"/>
          </w:tcPr>
          <w:p w:rsidR="00964E07" w:rsidRPr="005E29D8" w:rsidRDefault="00964E07" w:rsidP="005439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собеседование</w:t>
            </w:r>
          </w:p>
        </w:tc>
      </w:tr>
    </w:tbl>
    <w:p w:rsidR="00964E07" w:rsidRDefault="00964E07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9CD" w:rsidRDefault="005439CD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9CD" w:rsidRPr="005E29D8" w:rsidRDefault="005439CD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E07" w:rsidRPr="005E29D8" w:rsidRDefault="00964E07" w:rsidP="005E2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E29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SWOT</w:t>
      </w:r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-анализ возможности проведения исследования, в </w:t>
      </w:r>
      <w:proofErr w:type="spellStart"/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5E2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опыта работы в данном направлении (Приложение 1).</w:t>
      </w:r>
    </w:p>
    <w:tbl>
      <w:tblPr>
        <w:tblW w:w="10288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962"/>
        <w:gridCol w:w="2126"/>
        <w:gridCol w:w="2392"/>
        <w:gridCol w:w="1782"/>
      </w:tblGrid>
      <w:tr w:rsidR="00964E07" w:rsidRPr="005E29D8" w:rsidTr="005A544D">
        <w:trPr>
          <w:jc w:val="center"/>
        </w:trPr>
        <w:tc>
          <w:tcPr>
            <w:tcW w:w="2026" w:type="dxa"/>
            <w:vMerge w:val="restart"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Ключевые изменения</w:t>
            </w:r>
          </w:p>
        </w:tc>
        <w:tc>
          <w:tcPr>
            <w:tcW w:w="4088" w:type="dxa"/>
            <w:gridSpan w:val="2"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Внутренняя среда</w:t>
            </w:r>
          </w:p>
        </w:tc>
        <w:tc>
          <w:tcPr>
            <w:tcW w:w="4174" w:type="dxa"/>
            <w:gridSpan w:val="2"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Внешняя среда</w:t>
            </w:r>
          </w:p>
        </w:tc>
      </w:tr>
      <w:tr w:rsidR="00964E07" w:rsidRPr="005E29D8" w:rsidTr="005A544D">
        <w:trPr>
          <w:jc w:val="center"/>
        </w:trPr>
        <w:tc>
          <w:tcPr>
            <w:tcW w:w="2026" w:type="dxa"/>
            <w:vMerge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Сильные стороны</w:t>
            </w:r>
          </w:p>
        </w:tc>
        <w:tc>
          <w:tcPr>
            <w:tcW w:w="2126" w:type="dxa"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Слабые стороны</w:t>
            </w:r>
          </w:p>
        </w:tc>
        <w:tc>
          <w:tcPr>
            <w:tcW w:w="2392" w:type="dxa"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Возможности</w:t>
            </w:r>
          </w:p>
        </w:tc>
        <w:tc>
          <w:tcPr>
            <w:tcW w:w="1782" w:type="dxa"/>
            <w:vAlign w:val="center"/>
          </w:tcPr>
          <w:p w:rsidR="00964E07" w:rsidRPr="005E29D8" w:rsidRDefault="00964E07" w:rsidP="00543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Угрозы</w:t>
            </w:r>
          </w:p>
        </w:tc>
      </w:tr>
      <w:tr w:rsidR="00964E07" w:rsidRPr="005E29D8" w:rsidTr="005439CD">
        <w:trPr>
          <w:jc w:val="center"/>
        </w:trPr>
        <w:tc>
          <w:tcPr>
            <w:tcW w:w="2026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реализация </w:t>
            </w:r>
            <w:r w:rsidR="000930BB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дополнительных общеразвивающих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(организационные, психолого-педагогические, методические аспекты)</w:t>
            </w:r>
          </w:p>
        </w:tc>
        <w:tc>
          <w:tcPr>
            <w:tcW w:w="196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Возможная эффективность </w:t>
            </w:r>
            <w:r w:rsidR="000930BB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дополнительных общеразвивающих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</w:p>
        </w:tc>
        <w:tc>
          <w:tcPr>
            <w:tcW w:w="2126" w:type="dxa"/>
          </w:tcPr>
          <w:p w:rsidR="00964E07" w:rsidRPr="005E29D8" w:rsidRDefault="000930BB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Возможная неэффективность дополнительных общеразвивающих программ.</w:t>
            </w:r>
            <w:r w:rsidR="00543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964E07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видимых положительных изменений</w:t>
            </w:r>
          </w:p>
        </w:tc>
        <w:tc>
          <w:tcPr>
            <w:tcW w:w="239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результатов мониторинговых и диагностических исследований, которые могут быть использованы другими организациями</w:t>
            </w:r>
          </w:p>
        </w:tc>
        <w:tc>
          <w:tcPr>
            <w:tcW w:w="178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lang w:eastAsia="ru-RU"/>
              </w:rPr>
              <w:t>Ослабление внимания к проблемам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модернизации сферы дополнительного образования</w:t>
            </w:r>
          </w:p>
        </w:tc>
      </w:tr>
      <w:tr w:rsidR="00964E07" w:rsidRPr="005E29D8" w:rsidTr="005439CD">
        <w:trPr>
          <w:jc w:val="center"/>
        </w:trPr>
        <w:tc>
          <w:tcPr>
            <w:tcW w:w="2026" w:type="dxa"/>
          </w:tcPr>
          <w:p w:rsidR="00964E07" w:rsidRPr="005E29D8" w:rsidRDefault="005E14A4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педагогов дополнительного образования</w:t>
            </w:r>
          </w:p>
        </w:tc>
        <w:tc>
          <w:tcPr>
            <w:tcW w:w="196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профессионального развития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дополнительного образования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подгото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 к инновационным изменениями</w:t>
            </w:r>
          </w:p>
        </w:tc>
        <w:tc>
          <w:tcPr>
            <w:tcW w:w="2126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специалистов, создание системы подготовки и специального повышения квалификации, дополнительные затраты времени сотрудников, возможные психологические проблемы</w:t>
            </w:r>
          </w:p>
        </w:tc>
        <w:tc>
          <w:tcPr>
            <w:tcW w:w="239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сетевого взаимодействия для подготовки кадров по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дополнительных общеразвивающих программ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обмен опытом, проведение семинаров, конференций, </w:t>
            </w:r>
            <w:proofErr w:type="spellStart"/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стажировок, </w:t>
            </w:r>
            <w:proofErr w:type="spellStart"/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взаимообучения</w:t>
            </w:r>
            <w:proofErr w:type="spellEnd"/>
          </w:p>
        </w:tc>
        <w:tc>
          <w:tcPr>
            <w:tcW w:w="178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отклика на предложения сетевого взаимодействия, нежелание 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неготовность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обмениваться полученным опытом</w:t>
            </w:r>
          </w:p>
        </w:tc>
      </w:tr>
      <w:tr w:rsidR="00964E07" w:rsidRPr="005E29D8" w:rsidTr="005439CD">
        <w:trPr>
          <w:jc w:val="center"/>
        </w:trPr>
        <w:tc>
          <w:tcPr>
            <w:tcW w:w="2026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проектов нормативных документов, локальных актов</w:t>
            </w:r>
          </w:p>
        </w:tc>
        <w:tc>
          <w:tcPr>
            <w:tcW w:w="196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сопровождение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сетевого взаимодействия ДДЮТ с ОУ и социальными партнерами</w:t>
            </w:r>
          </w:p>
        </w:tc>
        <w:tc>
          <w:tcPr>
            <w:tcW w:w="2126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Трудоемкость процесса и сложность существующей юридической основы</w:t>
            </w:r>
          </w:p>
        </w:tc>
        <w:tc>
          <w:tcPr>
            <w:tcW w:w="239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ситуации в законодательной базе в целом</w:t>
            </w:r>
          </w:p>
        </w:tc>
        <w:tc>
          <w:tcPr>
            <w:tcW w:w="178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административного характера</w:t>
            </w:r>
          </w:p>
        </w:tc>
      </w:tr>
      <w:tr w:rsidR="00964E07" w:rsidRPr="005E29D8" w:rsidTr="005439CD">
        <w:trPr>
          <w:jc w:val="center"/>
        </w:trPr>
        <w:tc>
          <w:tcPr>
            <w:tcW w:w="2026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сопровождение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разработки и реализации 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r w:rsidR="00543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r w:rsidR="00543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</w:p>
        </w:tc>
        <w:tc>
          <w:tcPr>
            <w:tcW w:w="196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Наличие специалистов,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технических возможностей, партнеров и готовность к разработке информационного </w:t>
            </w:r>
            <w:r w:rsidR="005E14A4"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</w:t>
            </w:r>
          </w:p>
        </w:tc>
        <w:tc>
          <w:tcPr>
            <w:tcW w:w="2126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Трудоемкость процесса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разработки и реализации информационного сопровождения</w:t>
            </w:r>
          </w:p>
        </w:tc>
        <w:tc>
          <w:tcPr>
            <w:tcW w:w="239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сетевого взаимодействия и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социального партнерства</w:t>
            </w:r>
          </w:p>
        </w:tc>
        <w:tc>
          <w:tcPr>
            <w:tcW w:w="1782" w:type="dxa"/>
          </w:tcPr>
          <w:p w:rsidR="00964E07" w:rsidRPr="005E29D8" w:rsidRDefault="00964E07" w:rsidP="00543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Нежелание потенциальных </w:t>
            </w:r>
            <w:r w:rsidRPr="005E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партнеров участвовать в реализации общего информационного сопровождения</w:t>
            </w:r>
          </w:p>
        </w:tc>
      </w:tr>
    </w:tbl>
    <w:p w:rsidR="00964E07" w:rsidRPr="005E29D8" w:rsidRDefault="00964E07" w:rsidP="005439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31B" w:rsidRDefault="0059631B" w:rsidP="00284D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9631B" w:rsidSect="005A544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32" w:rsidRDefault="009D3E32" w:rsidP="00F171B2">
      <w:pPr>
        <w:spacing w:after="0" w:line="240" w:lineRule="auto"/>
      </w:pPr>
      <w:r>
        <w:separator/>
      </w:r>
    </w:p>
  </w:endnote>
  <w:endnote w:type="continuationSeparator" w:id="0">
    <w:p w:rsidR="009D3E32" w:rsidRDefault="009D3E32" w:rsidP="00F1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32" w:rsidRDefault="009D3E32" w:rsidP="00F171B2">
      <w:pPr>
        <w:spacing w:after="0" w:line="240" w:lineRule="auto"/>
      </w:pPr>
      <w:r>
        <w:separator/>
      </w:r>
    </w:p>
  </w:footnote>
  <w:footnote w:type="continuationSeparator" w:id="0">
    <w:p w:rsidR="009D3E32" w:rsidRDefault="009D3E32" w:rsidP="00F1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4D" w:rsidRDefault="00053DCD" w:rsidP="005A544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5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44D" w:rsidRDefault="005A54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4D" w:rsidRDefault="00053DCD" w:rsidP="005A544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54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98D">
      <w:rPr>
        <w:rStyle w:val="a8"/>
        <w:noProof/>
      </w:rPr>
      <w:t>12</w:t>
    </w:r>
    <w:r>
      <w:rPr>
        <w:rStyle w:val="a8"/>
      </w:rPr>
      <w:fldChar w:fldCharType="end"/>
    </w:r>
  </w:p>
  <w:p w:rsidR="005A544D" w:rsidRDefault="005A544D" w:rsidP="005A54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0524"/>
      <w:showingPlcHdr/>
    </w:sdtPr>
    <w:sdtEndPr/>
    <w:sdtContent>
      <w:p w:rsidR="006218F0" w:rsidRPr="006A66FE" w:rsidRDefault="0063794A" w:rsidP="006A66FE">
        <w:pPr>
          <w:pStyle w:val="a9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A32"/>
    <w:multiLevelType w:val="hybridMultilevel"/>
    <w:tmpl w:val="B058A990"/>
    <w:lvl w:ilvl="0" w:tplc="A9A0DDC6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0F8B7710"/>
    <w:multiLevelType w:val="hybridMultilevel"/>
    <w:tmpl w:val="F37E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19EF"/>
    <w:multiLevelType w:val="hybridMultilevel"/>
    <w:tmpl w:val="0A5E0FF2"/>
    <w:lvl w:ilvl="0" w:tplc="5FF6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7035"/>
    <w:multiLevelType w:val="hybridMultilevel"/>
    <w:tmpl w:val="E7DA4D68"/>
    <w:lvl w:ilvl="0" w:tplc="E018B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>
    <w:nsid w:val="15F504CD"/>
    <w:multiLevelType w:val="hybridMultilevel"/>
    <w:tmpl w:val="9BA4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0AFC"/>
    <w:multiLevelType w:val="hybridMultilevel"/>
    <w:tmpl w:val="26FE441E"/>
    <w:lvl w:ilvl="0" w:tplc="EFC4E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B1707"/>
    <w:multiLevelType w:val="hybridMultilevel"/>
    <w:tmpl w:val="388CD800"/>
    <w:lvl w:ilvl="0" w:tplc="A9A0DDC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753EFC"/>
    <w:multiLevelType w:val="hybridMultilevel"/>
    <w:tmpl w:val="03B22D9E"/>
    <w:lvl w:ilvl="0" w:tplc="A9A0DD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7F19DA"/>
    <w:multiLevelType w:val="hybridMultilevel"/>
    <w:tmpl w:val="52C0F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1F2933"/>
    <w:multiLevelType w:val="hybridMultilevel"/>
    <w:tmpl w:val="941431D2"/>
    <w:lvl w:ilvl="0" w:tplc="A8F0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1F0B2D"/>
    <w:multiLevelType w:val="hybridMultilevel"/>
    <w:tmpl w:val="E638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6869"/>
    <w:multiLevelType w:val="hybridMultilevel"/>
    <w:tmpl w:val="8B26A686"/>
    <w:lvl w:ilvl="0" w:tplc="56324E50">
      <w:start w:val="1"/>
      <w:numFmt w:val="decimal"/>
      <w:lvlText w:val="%1."/>
      <w:lvlJc w:val="left"/>
      <w:pPr>
        <w:tabs>
          <w:tab w:val="num" w:pos="855"/>
        </w:tabs>
        <w:ind w:left="8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EDA1E80"/>
    <w:multiLevelType w:val="hybridMultilevel"/>
    <w:tmpl w:val="FF82C168"/>
    <w:lvl w:ilvl="0" w:tplc="5FF6E9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2D10BE"/>
    <w:multiLevelType w:val="hybridMultilevel"/>
    <w:tmpl w:val="EE027CA2"/>
    <w:lvl w:ilvl="0" w:tplc="E4C6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2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4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0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A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4A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224262"/>
    <w:multiLevelType w:val="hybridMultilevel"/>
    <w:tmpl w:val="78C6D4CC"/>
    <w:lvl w:ilvl="0" w:tplc="2FD8D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4E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01D0B"/>
    <w:multiLevelType w:val="hybridMultilevel"/>
    <w:tmpl w:val="9760CD44"/>
    <w:lvl w:ilvl="0" w:tplc="9FA4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47601"/>
    <w:multiLevelType w:val="hybridMultilevel"/>
    <w:tmpl w:val="A02C3A8A"/>
    <w:lvl w:ilvl="0" w:tplc="4E58177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74712"/>
    <w:multiLevelType w:val="hybridMultilevel"/>
    <w:tmpl w:val="7074755C"/>
    <w:lvl w:ilvl="0" w:tplc="13306766">
      <w:start w:val="1"/>
      <w:numFmt w:val="bullet"/>
      <w:lvlText w:val=""/>
      <w:lvlJc w:val="left"/>
      <w:pPr>
        <w:tabs>
          <w:tab w:val="num" w:pos="841"/>
        </w:tabs>
        <w:ind w:left="898" w:hanging="1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11236B4"/>
    <w:multiLevelType w:val="hybridMultilevel"/>
    <w:tmpl w:val="108C3602"/>
    <w:lvl w:ilvl="0" w:tplc="2FD8D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1C7581"/>
    <w:multiLevelType w:val="hybridMultilevel"/>
    <w:tmpl w:val="BABE8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00474"/>
    <w:multiLevelType w:val="hybridMultilevel"/>
    <w:tmpl w:val="F8EE7A3E"/>
    <w:lvl w:ilvl="0" w:tplc="022812F6">
      <w:start w:val="1"/>
      <w:numFmt w:val="decimal"/>
      <w:lvlText w:val="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6444D"/>
    <w:multiLevelType w:val="hybridMultilevel"/>
    <w:tmpl w:val="E692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D6428"/>
    <w:multiLevelType w:val="multilevel"/>
    <w:tmpl w:val="78C6D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C6260"/>
    <w:multiLevelType w:val="hybridMultilevel"/>
    <w:tmpl w:val="8842D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8248E4"/>
    <w:multiLevelType w:val="multilevel"/>
    <w:tmpl w:val="9760CD4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2"/>
  </w:num>
  <w:num w:numId="5">
    <w:abstractNumId w:val="24"/>
  </w:num>
  <w:num w:numId="6">
    <w:abstractNumId w:val="9"/>
  </w:num>
  <w:num w:numId="7">
    <w:abstractNumId w:val="23"/>
  </w:num>
  <w:num w:numId="8">
    <w:abstractNumId w:val="1"/>
  </w:num>
  <w:num w:numId="9">
    <w:abstractNumId w:val="8"/>
  </w:num>
  <w:num w:numId="10">
    <w:abstractNumId w:val="18"/>
  </w:num>
  <w:num w:numId="11">
    <w:abstractNumId w:val="12"/>
  </w:num>
  <w:num w:numId="12">
    <w:abstractNumId w:val="14"/>
  </w:num>
  <w:num w:numId="13">
    <w:abstractNumId w:val="22"/>
  </w:num>
  <w:num w:numId="14">
    <w:abstractNumId w:val="5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21"/>
  </w:num>
  <w:num w:numId="20">
    <w:abstractNumId w:val="10"/>
  </w:num>
  <w:num w:numId="21">
    <w:abstractNumId w:val="4"/>
  </w:num>
  <w:num w:numId="22">
    <w:abstractNumId w:val="0"/>
  </w:num>
  <w:num w:numId="23">
    <w:abstractNumId w:val="7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369"/>
    <w:rsid w:val="00023E0B"/>
    <w:rsid w:val="00032346"/>
    <w:rsid w:val="00053DCD"/>
    <w:rsid w:val="000930BB"/>
    <w:rsid w:val="000A5CE9"/>
    <w:rsid w:val="000B527E"/>
    <w:rsid w:val="000E675F"/>
    <w:rsid w:val="00134369"/>
    <w:rsid w:val="00155CF6"/>
    <w:rsid w:val="0016398D"/>
    <w:rsid w:val="00166721"/>
    <w:rsid w:val="001856F0"/>
    <w:rsid w:val="00197BFA"/>
    <w:rsid w:val="001E4919"/>
    <w:rsid w:val="00231587"/>
    <w:rsid w:val="00284DAE"/>
    <w:rsid w:val="00297188"/>
    <w:rsid w:val="002A4FE4"/>
    <w:rsid w:val="003113B1"/>
    <w:rsid w:val="003A01E2"/>
    <w:rsid w:val="003C391A"/>
    <w:rsid w:val="003C3FCF"/>
    <w:rsid w:val="003C62C2"/>
    <w:rsid w:val="003D4F34"/>
    <w:rsid w:val="004044FF"/>
    <w:rsid w:val="00436CD6"/>
    <w:rsid w:val="00480CF1"/>
    <w:rsid w:val="00494E80"/>
    <w:rsid w:val="004A4553"/>
    <w:rsid w:val="004D7EF3"/>
    <w:rsid w:val="00521FA5"/>
    <w:rsid w:val="005269C2"/>
    <w:rsid w:val="005439CD"/>
    <w:rsid w:val="0059631B"/>
    <w:rsid w:val="005A544D"/>
    <w:rsid w:val="005C342C"/>
    <w:rsid w:val="005E14A4"/>
    <w:rsid w:val="005E29D8"/>
    <w:rsid w:val="005E6937"/>
    <w:rsid w:val="006218F0"/>
    <w:rsid w:val="0063794A"/>
    <w:rsid w:val="0066236C"/>
    <w:rsid w:val="0066323B"/>
    <w:rsid w:val="0068175C"/>
    <w:rsid w:val="006A66FE"/>
    <w:rsid w:val="006F2CF0"/>
    <w:rsid w:val="0072041E"/>
    <w:rsid w:val="00736134"/>
    <w:rsid w:val="0075629A"/>
    <w:rsid w:val="007A5FBE"/>
    <w:rsid w:val="007B3BE5"/>
    <w:rsid w:val="007C512E"/>
    <w:rsid w:val="008168D2"/>
    <w:rsid w:val="00864889"/>
    <w:rsid w:val="008C07EC"/>
    <w:rsid w:val="00920987"/>
    <w:rsid w:val="00936EDF"/>
    <w:rsid w:val="00964E07"/>
    <w:rsid w:val="009D3E32"/>
    <w:rsid w:val="009D5874"/>
    <w:rsid w:val="009E7FE7"/>
    <w:rsid w:val="00A013D8"/>
    <w:rsid w:val="00A25C01"/>
    <w:rsid w:val="00A51043"/>
    <w:rsid w:val="00A60691"/>
    <w:rsid w:val="00A8393E"/>
    <w:rsid w:val="00AB2C94"/>
    <w:rsid w:val="00AF031F"/>
    <w:rsid w:val="00B02294"/>
    <w:rsid w:val="00B3049D"/>
    <w:rsid w:val="00B83463"/>
    <w:rsid w:val="00B86421"/>
    <w:rsid w:val="00BB41BF"/>
    <w:rsid w:val="00C91DAB"/>
    <w:rsid w:val="00C96367"/>
    <w:rsid w:val="00CD5636"/>
    <w:rsid w:val="00D12D4A"/>
    <w:rsid w:val="00D2650C"/>
    <w:rsid w:val="00DA6003"/>
    <w:rsid w:val="00DB71DA"/>
    <w:rsid w:val="00DC3D38"/>
    <w:rsid w:val="00DC7454"/>
    <w:rsid w:val="00DF01C1"/>
    <w:rsid w:val="00DF4C15"/>
    <w:rsid w:val="00E25C46"/>
    <w:rsid w:val="00E33E1E"/>
    <w:rsid w:val="00E67E72"/>
    <w:rsid w:val="00E761C9"/>
    <w:rsid w:val="00E80D60"/>
    <w:rsid w:val="00E9140F"/>
    <w:rsid w:val="00F171B2"/>
    <w:rsid w:val="00F53FC9"/>
    <w:rsid w:val="00F57287"/>
    <w:rsid w:val="00F810F9"/>
    <w:rsid w:val="00F847A5"/>
    <w:rsid w:val="00FB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64E07"/>
  </w:style>
  <w:style w:type="paragraph" w:styleId="a3">
    <w:name w:val="Body Text Indent"/>
    <w:basedOn w:val="a"/>
    <w:link w:val="10"/>
    <w:rsid w:val="00964E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rsid w:val="00964E07"/>
  </w:style>
  <w:style w:type="table" w:styleId="a5">
    <w:name w:val="Table Grid"/>
    <w:basedOn w:val="a1"/>
    <w:rsid w:val="0096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с отступом Знак1"/>
    <w:link w:val="a3"/>
    <w:rsid w:val="00964E07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rmal (Web)"/>
    <w:aliases w:val="Обычный (Web)"/>
    <w:basedOn w:val="a"/>
    <w:uiPriority w:val="99"/>
    <w:rsid w:val="0096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64E07"/>
    <w:rPr>
      <w:color w:val="0000FF"/>
      <w:u w:val="single"/>
    </w:rPr>
  </w:style>
  <w:style w:type="character" w:customStyle="1" w:styleId="CharChar">
    <w:name w:val="Char Char"/>
    <w:rsid w:val="00964E07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rsid w:val="00964E07"/>
  </w:style>
  <w:style w:type="paragraph" w:styleId="a9">
    <w:name w:val="header"/>
    <w:basedOn w:val="a"/>
    <w:link w:val="aa"/>
    <w:uiPriority w:val="99"/>
    <w:rsid w:val="00964E0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64E0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rsid w:val="00964E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Нижний колонтитул Знак"/>
    <w:basedOn w:val="a0"/>
    <w:link w:val="ab"/>
    <w:rsid w:val="00964E07"/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964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12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D12D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59631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99"/>
    <w:qFormat/>
    <w:rsid w:val="0059631B"/>
    <w:rPr>
      <w:rFonts w:cs="Times New Roman"/>
      <w:b/>
      <w:bCs/>
    </w:rPr>
  </w:style>
  <w:style w:type="paragraph" w:customStyle="1" w:styleId="af">
    <w:name w:val="Содержимое таблицы"/>
    <w:basedOn w:val="a"/>
    <w:uiPriority w:val="99"/>
    <w:rsid w:val="0059631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6A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64E07"/>
  </w:style>
  <w:style w:type="paragraph" w:styleId="a3">
    <w:name w:val="Body Text Indent"/>
    <w:basedOn w:val="a"/>
    <w:link w:val="10"/>
    <w:rsid w:val="00964E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rsid w:val="00964E07"/>
  </w:style>
  <w:style w:type="table" w:styleId="a5">
    <w:name w:val="Table Grid"/>
    <w:basedOn w:val="a1"/>
    <w:rsid w:val="0096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с отступом Знак1"/>
    <w:link w:val="a3"/>
    <w:rsid w:val="00964E07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rmal (Web)"/>
    <w:aliases w:val="Обычный (Web)"/>
    <w:basedOn w:val="a"/>
    <w:uiPriority w:val="99"/>
    <w:rsid w:val="0096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4E07"/>
    <w:rPr>
      <w:color w:val="0000FF"/>
      <w:u w:val="single"/>
    </w:rPr>
  </w:style>
  <w:style w:type="character" w:customStyle="1" w:styleId="CharChar">
    <w:name w:val="Char Char"/>
    <w:rsid w:val="00964E07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rsid w:val="00964E07"/>
  </w:style>
  <w:style w:type="paragraph" w:styleId="a9">
    <w:name w:val="header"/>
    <w:basedOn w:val="a"/>
    <w:link w:val="aa"/>
    <w:uiPriority w:val="99"/>
    <w:rsid w:val="00964E0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64E0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rsid w:val="00964E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c">
    <w:name w:val="Нижний колонтитул Знак"/>
    <w:basedOn w:val="a0"/>
    <w:link w:val="ab"/>
    <w:rsid w:val="00964E07"/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964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12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D12D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59631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99"/>
    <w:qFormat/>
    <w:rsid w:val="0059631B"/>
    <w:rPr>
      <w:rFonts w:cs="Times New Roman"/>
      <w:b/>
      <w:bCs/>
    </w:rPr>
  </w:style>
  <w:style w:type="paragraph" w:customStyle="1" w:styleId="af">
    <w:name w:val="Содержимое таблицы"/>
    <w:basedOn w:val="a"/>
    <w:uiPriority w:val="99"/>
    <w:rsid w:val="0059631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7276-B618-4974-992B-70DD2F00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Кулешова Ольга Валерьевна</cp:lastModifiedBy>
  <cp:revision>25</cp:revision>
  <dcterms:created xsi:type="dcterms:W3CDTF">2014-04-06T16:18:00Z</dcterms:created>
  <dcterms:modified xsi:type="dcterms:W3CDTF">2014-09-15T14:36:00Z</dcterms:modified>
</cp:coreProperties>
</file>